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511B64" w:rsidRDefault="00DB11B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China’s Belt and Road Initiative:</w:t>
      </w:r>
    </w:p>
    <w:p w14:paraId="00000002" w14:textId="77777777" w:rsidR="00511B64" w:rsidRDefault="00DB11B3">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Analyzing the Economic Feasibility of Brownfield vs. Greenfield Investments</w:t>
      </w:r>
    </w:p>
    <w:p w14:paraId="00000003" w14:textId="77777777" w:rsidR="00511B64" w:rsidRDefault="00DB11B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Jessica Fang</w:t>
      </w:r>
    </w:p>
    <w:p w14:paraId="00000004" w14:textId="77777777" w:rsidR="00511B64" w:rsidRDefault="00DB11B3">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Arthur R. Adams Fellow in International Political Economy</w:t>
      </w:r>
    </w:p>
    <w:p w14:paraId="00000005" w14:textId="77777777" w:rsidR="00511B64" w:rsidRDefault="00DB11B3">
      <w:pPr>
        <w:spacing w:before="240" w:after="24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Keck Center for International and Strategic Studies</w:t>
      </w:r>
    </w:p>
    <w:p w14:paraId="00000006" w14:textId="77777777" w:rsidR="00511B64" w:rsidRDefault="00DB11B3">
      <w:pPr>
        <w:numPr>
          <w:ilvl w:val="0"/>
          <w:numId w:val="1"/>
        </w:numPr>
        <w:spacing w:before="240" w:after="240" w:line="480" w:lineRule="auto"/>
        <w:rPr>
          <w:sz w:val="24"/>
          <w:szCs w:val="24"/>
        </w:rPr>
      </w:pPr>
      <w:r>
        <w:rPr>
          <w:rFonts w:ascii="Times New Roman" w:eastAsia="Times New Roman" w:hAnsi="Times New Roman" w:cs="Times New Roman"/>
          <w:b/>
          <w:sz w:val="24"/>
          <w:szCs w:val="24"/>
        </w:rPr>
        <w:t xml:space="preserve">Introduction </w:t>
      </w:r>
    </w:p>
    <w:p w14:paraId="00000007"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 astonishing rapidity, China has transformed from a non-industrialized nation to the global leader in manufacturing and exports. The country’s drastic metamorphosis is widely attributed</w:t>
      </w:r>
      <w:r>
        <w:rPr>
          <w:rFonts w:ascii="Times New Roman" w:eastAsia="Times New Roman" w:hAnsi="Times New Roman" w:cs="Times New Roman"/>
          <w:sz w:val="24"/>
          <w:szCs w:val="24"/>
        </w:rPr>
        <w:t xml:space="preserve"> to former president Deng Xiaoping’s modernization and economic reform efforts which shifted the Chinese economy into its current socialist market model. Beginning in 1978, foreign direct investment (FDI) began flowing into the country as a result of Deng </w:t>
      </w:r>
      <w:r>
        <w:rPr>
          <w:rFonts w:ascii="Times New Roman" w:eastAsia="Times New Roman" w:hAnsi="Times New Roman" w:cs="Times New Roman"/>
          <w:sz w:val="24"/>
          <w:szCs w:val="24"/>
        </w:rPr>
        <w:t>Xiaoping’s Open Door Policy that incentivized foreign investment and technological advancement.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FDI encapsulates all international equity holdings in which the owner has considerable control and influence over the asset.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Over the past four decades, Chi</w:t>
      </w:r>
      <w:r>
        <w:rPr>
          <w:rFonts w:ascii="Times New Roman" w:eastAsia="Times New Roman" w:hAnsi="Times New Roman" w:cs="Times New Roman"/>
          <w:sz w:val="24"/>
          <w:szCs w:val="24"/>
        </w:rPr>
        <w:t>na has accumulated more than $3 trillion in FDI and continues to be one of the largest recipients of international investment.</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Although still considered to be a developing country with an emerging market, China is attractive to foreign investors due to c</w:t>
      </w:r>
      <w:r>
        <w:rPr>
          <w:rFonts w:ascii="Times New Roman" w:eastAsia="Times New Roman" w:hAnsi="Times New Roman" w:cs="Times New Roman"/>
          <w:sz w:val="24"/>
          <w:szCs w:val="24"/>
        </w:rPr>
        <w:t>omponents such as a large labor force and growing middle class that will fuel further economic growth.</w:t>
      </w:r>
    </w:p>
    <w:p w14:paraId="00000008"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Compared to FDI, Chinese outward direct investment (ODI) initiatives followed a much slower growth trajectory for the first twenty years due to a capital</w:t>
      </w:r>
      <w:r>
        <w:rPr>
          <w:rFonts w:ascii="Times New Roman" w:eastAsia="Times New Roman" w:hAnsi="Times New Roman" w:cs="Times New Roman"/>
          <w:sz w:val="24"/>
          <w:szCs w:val="24"/>
        </w:rPr>
        <w:t xml:space="preserve"> shortage and demand for internal domestic development. In 1999 however, China shifted its economy following former president Jiang Zemin’s Go Out policy that encouraged state-owned enterprises (SOEs) to acquire assets abroad in hopes of developing success</w:t>
      </w:r>
      <w:r>
        <w:rPr>
          <w:rFonts w:ascii="Times New Roman" w:eastAsia="Times New Roman" w:hAnsi="Times New Roman" w:cs="Times New Roman"/>
          <w:sz w:val="24"/>
          <w:szCs w:val="24"/>
        </w:rPr>
        <w:t>ful SOEs into transnational corporations.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Additionally, China’s new membership in the World Trade Organization further propelled its model of economic liberalization.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Chinese ODI accelerated throughout the following decade, exhibiting an astonishing an</w:t>
      </w:r>
      <w:r>
        <w:rPr>
          <w:rFonts w:ascii="Times New Roman" w:eastAsia="Times New Roman" w:hAnsi="Times New Roman" w:cs="Times New Roman"/>
          <w:sz w:val="24"/>
          <w:szCs w:val="24"/>
        </w:rPr>
        <w:t>nual growth rate of 55% from 2003 to 2009.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vast majority of Chinese ODI flowed into developing economies, although China also significantly increased its investment into developed countries with the intent to attain technological advancement and mark</w:t>
      </w:r>
      <w:r>
        <w:rPr>
          <w:rFonts w:ascii="Times New Roman" w:eastAsia="Times New Roman" w:hAnsi="Times New Roman" w:cs="Times New Roman"/>
          <w:sz w:val="24"/>
          <w:szCs w:val="24"/>
        </w:rPr>
        <w:t>et expansion.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For example, with numerous enterprises in developed countries struggling in the face of the Great Recession, Chinese enterprises swooped in to capitalize on the economic opportunity. While FDI inflows around the world plummeted by 14% in 20</w:t>
      </w:r>
      <w:r>
        <w:rPr>
          <w:rFonts w:ascii="Times New Roman" w:eastAsia="Times New Roman" w:hAnsi="Times New Roman" w:cs="Times New Roman"/>
          <w:sz w:val="24"/>
          <w:szCs w:val="24"/>
        </w:rPr>
        <w:t>08, China’s ODI doubled from $26.5 billion to $55.9 billion.</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These trends are indicative of a structural shift in China’s economic development model from a country that historically was a large recipient of inbound investment to a country that now contri</w:t>
      </w:r>
      <w:r>
        <w:rPr>
          <w:rFonts w:ascii="Times New Roman" w:eastAsia="Times New Roman" w:hAnsi="Times New Roman" w:cs="Times New Roman"/>
          <w:sz w:val="24"/>
          <w:szCs w:val="24"/>
        </w:rPr>
        <w:t xml:space="preserve">butes large sums of diversified investment internationally. </w:t>
      </w:r>
    </w:p>
    <w:p w14:paraId="00000009"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Jinping’s rise to presidency in late 2012 began the shift to a new outlook on China’s international presence. Branded as the “China Dream,” the president touted his vision of China’s </w:t>
      </w:r>
      <w:r>
        <w:rPr>
          <w:rFonts w:ascii="Times New Roman" w:eastAsia="Times New Roman" w:hAnsi="Times New Roman" w:cs="Times New Roman"/>
          <w:sz w:val="24"/>
          <w:szCs w:val="24"/>
        </w:rPr>
        <w:lastRenderedPageBreak/>
        <w:t>prospecti</w:t>
      </w:r>
      <w:r>
        <w:rPr>
          <w:rFonts w:ascii="Times New Roman" w:eastAsia="Times New Roman" w:hAnsi="Times New Roman" w:cs="Times New Roman"/>
          <w:sz w:val="24"/>
          <w:szCs w:val="24"/>
        </w:rPr>
        <w:t>ve position as a leading world power by 2049.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President Xi’s anticipation demonstrates departure from the strategies of China’s former leaders, who conventionally followed Deng Xiaoping’s “bide and hide” strategy, under which China adopted unobtrusive fo</w:t>
      </w:r>
      <w:r>
        <w:rPr>
          <w:rFonts w:ascii="Times New Roman" w:eastAsia="Times New Roman" w:hAnsi="Times New Roman" w:cs="Times New Roman"/>
          <w:sz w:val="24"/>
          <w:szCs w:val="24"/>
        </w:rPr>
        <w:t>reign policies, rather than attempting to take the lead in international affairs.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Contrary to previous president Hu Juntao’s “Peaceful Rise” vision in which China would be a practical but compliant member of the global community, President Xi Jinping has</w:t>
      </w:r>
      <w:r>
        <w:rPr>
          <w:rFonts w:ascii="Times New Roman" w:eastAsia="Times New Roman" w:hAnsi="Times New Roman" w:cs="Times New Roman"/>
          <w:sz w:val="24"/>
          <w:szCs w:val="24"/>
        </w:rPr>
        <w:t xml:space="preserve"> assumed a more disruptive perspective of China’s position, which is contingent upon the assertion of China’s leadership in developing economies and ability to stay on the forefront of technology.</w:t>
      </w:r>
    </w:p>
    <w:p w14:paraId="0000000A"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Under Xi Jinping’s leadership, Chinese ODI continued to cli</w:t>
      </w:r>
      <w:r>
        <w:rPr>
          <w:rFonts w:ascii="Times New Roman" w:eastAsia="Times New Roman" w:hAnsi="Times New Roman" w:cs="Times New Roman"/>
          <w:sz w:val="24"/>
          <w:szCs w:val="24"/>
        </w:rPr>
        <w:t>mb. By 2016, China became the second-largest international investor in the world. In the same year however, Chinese government officials began restricting ODI due to diminishing foreign reserves and a weakening renminbi.</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Although this affected all Chines</w:t>
      </w:r>
      <w:r>
        <w:rPr>
          <w:rFonts w:ascii="Times New Roman" w:eastAsia="Times New Roman" w:hAnsi="Times New Roman" w:cs="Times New Roman"/>
          <w:sz w:val="24"/>
          <w:szCs w:val="24"/>
        </w:rPr>
        <w:t>e enterprises, POEs were especially disadvantaged by the credit ceilings of the government’s new regulations.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Furthermore, Western countries have begun establishing stricter screening procedures and higher regulatory barriers for accepting Chinese invest</w:t>
      </w:r>
      <w:r>
        <w:rPr>
          <w:rFonts w:ascii="Times New Roman" w:eastAsia="Times New Roman" w:hAnsi="Times New Roman" w:cs="Times New Roman"/>
          <w:sz w:val="24"/>
          <w:szCs w:val="24"/>
        </w:rPr>
        <w:t>ments, thus threatening China’s strategic overseas investment in developed countries.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Chinese ODI flows into the United States and Europe both dropped by almost 60% in 2018 as a result of the protectionist policies enacted by both the investing and </w:t>
      </w:r>
      <w:r>
        <w:rPr>
          <w:rFonts w:ascii="Times New Roman" w:eastAsia="Times New Roman" w:hAnsi="Times New Roman" w:cs="Times New Roman"/>
          <w:sz w:val="24"/>
          <w:szCs w:val="24"/>
        </w:rPr>
        <w:lastRenderedPageBreak/>
        <w:t>recip</w:t>
      </w:r>
      <w:r>
        <w:rPr>
          <w:rFonts w:ascii="Times New Roman" w:eastAsia="Times New Roman" w:hAnsi="Times New Roman" w:cs="Times New Roman"/>
          <w:sz w:val="24"/>
          <w:szCs w:val="24"/>
        </w:rPr>
        <w:t>ient nations.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These hurdles for Chinese ODI investment will likely challenge China’s future economic influence in developed countries. </w:t>
      </w:r>
    </w:p>
    <w:p w14:paraId="0000000B"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China’s investment trends reflect the unique inclination of recent emerging markets to employ ODI in order to acquire strategic assets and opportunities. Chinese ODI flow into developed economies were traditionally made in order to expand on technology dev</w:t>
      </w:r>
      <w:r>
        <w:rPr>
          <w:rFonts w:ascii="Times New Roman" w:eastAsia="Times New Roman" w:hAnsi="Times New Roman" w:cs="Times New Roman"/>
          <w:sz w:val="24"/>
          <w:szCs w:val="24"/>
        </w:rPr>
        <w:t>elopment or knowledge of advanced manufacturing methods which are currently lacking domestically.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Under this method, China utilized international expansion in order to compensate for competitive disadvantages of its traditional existence as a market outs</w:t>
      </w:r>
      <w:r>
        <w:rPr>
          <w:rFonts w:ascii="Times New Roman" w:eastAsia="Times New Roman" w:hAnsi="Times New Roman" w:cs="Times New Roman"/>
          <w:sz w:val="24"/>
          <w:szCs w:val="24"/>
        </w:rPr>
        <w:t>ider in the global economy. On the other hand, China’s investment in other developing economies allows for the application of its own competitive advantages internationally. For example, several Chinese enterprises have invested in underdeveloped countries</w:t>
      </w:r>
      <w:r>
        <w:rPr>
          <w:rFonts w:ascii="Times New Roman" w:eastAsia="Times New Roman" w:hAnsi="Times New Roman" w:cs="Times New Roman"/>
          <w:sz w:val="24"/>
          <w:szCs w:val="24"/>
        </w:rPr>
        <w:t xml:space="preserve"> of Southeast Asia in order to leverage their cost-effective manufacturing and maximize production abilities.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Furthermore, international investments in developing countries allow for China to extract valuable natural resources such as minerals, metals, and energy sources.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In obtaining new assets and opportunities through international expansion, China aims to b</w:t>
      </w:r>
      <w:r>
        <w:rPr>
          <w:rFonts w:ascii="Times New Roman" w:eastAsia="Times New Roman" w:hAnsi="Times New Roman" w:cs="Times New Roman"/>
          <w:sz w:val="24"/>
          <w:szCs w:val="24"/>
        </w:rPr>
        <w:t xml:space="preserve">olster domestic economic and social development in order to compete in an increasingly globalized world. </w:t>
      </w:r>
    </w:p>
    <w:p w14:paraId="0000000C"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Brownfield and greenfield investments are often used by corporations that seek to broaden their international reach through FDI in other countries. Th</w:t>
      </w:r>
      <w:r>
        <w:rPr>
          <w:rFonts w:ascii="Times New Roman" w:eastAsia="Times New Roman" w:hAnsi="Times New Roman" w:cs="Times New Roman"/>
          <w:sz w:val="24"/>
          <w:szCs w:val="24"/>
        </w:rPr>
        <w:t xml:space="preserve">ese multinational corporations generally purchase, lease, or build new facilities, such as factory plants and office </w:t>
      </w:r>
      <w:r>
        <w:rPr>
          <w:rFonts w:ascii="Times New Roman" w:eastAsia="Times New Roman" w:hAnsi="Times New Roman" w:cs="Times New Roman"/>
          <w:sz w:val="24"/>
          <w:szCs w:val="24"/>
        </w:rPr>
        <w:lastRenderedPageBreak/>
        <w:t>spaces, abroad. The greenfield ODI strategy emphasizes the construction of a new venture from the ground up. While there are several benefi</w:t>
      </w:r>
      <w:r>
        <w:rPr>
          <w:rFonts w:ascii="Times New Roman" w:eastAsia="Times New Roman" w:hAnsi="Times New Roman" w:cs="Times New Roman"/>
          <w:sz w:val="24"/>
          <w:szCs w:val="24"/>
        </w:rPr>
        <w:t>ts to the greenfield expansion model, such as design flexibility and the ability to cater to the unmet needs of the targeted customer segment, there are often also higher costs and risks involved. For example, new greenfield developments do not have the gu</w:t>
      </w:r>
      <w:r>
        <w:rPr>
          <w:rFonts w:ascii="Times New Roman" w:eastAsia="Times New Roman" w:hAnsi="Times New Roman" w:cs="Times New Roman"/>
          <w:sz w:val="24"/>
          <w:szCs w:val="24"/>
        </w:rPr>
        <w:t>arantee of consistent, proven market demand. In contrast, brownfield expansion refers to an investment in which a corporation chooses to purchase an existing facility, rather than creating a new one. While adjustments will likely need to be made in order t</w:t>
      </w:r>
      <w:r>
        <w:rPr>
          <w:rFonts w:ascii="Times New Roman" w:eastAsia="Times New Roman" w:hAnsi="Times New Roman" w:cs="Times New Roman"/>
          <w:sz w:val="24"/>
          <w:szCs w:val="24"/>
        </w:rPr>
        <w:t>o cater to the host company’s needs, the process is much more efficient, as the company will not need to spend as much money or time in developmental planning or getting bureaucratic approval for necessities such as zoning permits and paperwork.  In exchan</w:t>
      </w:r>
      <w:r>
        <w:rPr>
          <w:rFonts w:ascii="Times New Roman" w:eastAsia="Times New Roman" w:hAnsi="Times New Roman" w:cs="Times New Roman"/>
          <w:sz w:val="24"/>
          <w:szCs w:val="24"/>
        </w:rPr>
        <w:t>ge for business expansion, the foreign country receiving the FDI benefits from the increase in labor demand and economic competitiveness.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
    <w:p w14:paraId="0000000D"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the discussion of strategic brownfield and greenfield models typically pertain to the private sector, this</w:t>
      </w:r>
      <w:r>
        <w:rPr>
          <w:rFonts w:ascii="Times New Roman" w:eastAsia="Times New Roman" w:hAnsi="Times New Roman" w:cs="Times New Roman"/>
          <w:sz w:val="24"/>
          <w:szCs w:val="24"/>
        </w:rPr>
        <w:t xml:space="preserve"> investment framework can be applied when evaluating the success of China’s ODI, which is typically dominated by state-owned enterprises (SOEs), rather than privately-owned enterprises (POEs). As China has continued to strengthen its international presence</w:t>
      </w:r>
      <w:r>
        <w:rPr>
          <w:rFonts w:ascii="Times New Roman" w:eastAsia="Times New Roman" w:hAnsi="Times New Roman" w:cs="Times New Roman"/>
          <w:sz w:val="24"/>
          <w:szCs w:val="24"/>
        </w:rPr>
        <w:t xml:space="preserve"> primarily through investments in other developing countries, it has adopted ambitious methods such as the vast-spanning Belt and Road Initiative (BRI). Announced by President Xi Jinping in 2013, the Belt and Road Initiative is a strategic bilateral develo</w:t>
      </w:r>
      <w:r>
        <w:rPr>
          <w:rFonts w:ascii="Times New Roman" w:eastAsia="Times New Roman" w:hAnsi="Times New Roman" w:cs="Times New Roman"/>
          <w:sz w:val="24"/>
          <w:szCs w:val="24"/>
        </w:rPr>
        <w:t>pment plan that seeks to foster connectivity through the development of infrastructure and linkage of land, sea, and air routes across 70 countries in Asia, Europe, and Africa.</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While this global project was promoted </w:t>
      </w:r>
      <w:r>
        <w:rPr>
          <w:rFonts w:ascii="Times New Roman" w:eastAsia="Times New Roman" w:hAnsi="Times New Roman" w:cs="Times New Roman"/>
          <w:sz w:val="24"/>
          <w:szCs w:val="24"/>
        </w:rPr>
        <w:lastRenderedPageBreak/>
        <w:t>by the Chinese government as being mut</w:t>
      </w:r>
      <w:r>
        <w:rPr>
          <w:rFonts w:ascii="Times New Roman" w:eastAsia="Times New Roman" w:hAnsi="Times New Roman" w:cs="Times New Roman"/>
          <w:sz w:val="24"/>
          <w:szCs w:val="24"/>
        </w:rPr>
        <w:t xml:space="preserve">ually beneficial, the actual results have proved to be controversial. </w:t>
      </w:r>
    </w:p>
    <w:p w14:paraId="0000000E"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Ultimately, this paper examines the pitfalls and potential risks raised by inconsistencies of the Belt and Road Initiative (BRI). Through exploring the historical economic development o</w:t>
      </w:r>
      <w:r>
        <w:rPr>
          <w:rFonts w:ascii="Times New Roman" w:eastAsia="Times New Roman" w:hAnsi="Times New Roman" w:cs="Times New Roman"/>
          <w:sz w:val="24"/>
          <w:szCs w:val="24"/>
        </w:rPr>
        <w:t xml:space="preserve">f China through ODI, this paper will challenge the classification of the BRI as a traditional ODI project as it does not fall under conventional international investment methods. Instead, this paper asserts that the BRI embodies a hybrid development model </w:t>
      </w:r>
      <w:r>
        <w:rPr>
          <w:rFonts w:ascii="Times New Roman" w:eastAsia="Times New Roman" w:hAnsi="Times New Roman" w:cs="Times New Roman"/>
          <w:sz w:val="24"/>
          <w:szCs w:val="24"/>
        </w:rPr>
        <w:t>attempting to maximize both profitability and political reach that is largely synergetic to China’s strategic transition into a global leader and economic superpower. Utilizing this theory, the effectiveness of greenfield vs. brownfield development strateg</w:t>
      </w:r>
      <w:r>
        <w:rPr>
          <w:rFonts w:ascii="Times New Roman" w:eastAsia="Times New Roman" w:hAnsi="Times New Roman" w:cs="Times New Roman"/>
          <w:sz w:val="24"/>
          <w:szCs w:val="24"/>
        </w:rPr>
        <w:t>ies will be applied in order to contrast the failure of the Port of Hambantota in Sri Lanka with the success of Port Piraeus in Greece. Through these BRI case studies, the conclusion is drawn that brownfield investments with a successful track record are m</w:t>
      </w:r>
      <w:r>
        <w:rPr>
          <w:rFonts w:ascii="Times New Roman" w:eastAsia="Times New Roman" w:hAnsi="Times New Roman" w:cs="Times New Roman"/>
          <w:sz w:val="24"/>
          <w:szCs w:val="24"/>
        </w:rPr>
        <w:t xml:space="preserve">ore effective than new greenfield developments in areas where consumer demand remains uncertain.  </w:t>
      </w:r>
    </w:p>
    <w:p w14:paraId="0000000F" w14:textId="77777777" w:rsidR="00511B64" w:rsidRDefault="00DB11B3">
      <w:pPr>
        <w:numPr>
          <w:ilvl w:val="0"/>
          <w:numId w:val="1"/>
        </w:numPr>
        <w:spacing w:before="240" w:after="240" w:line="480" w:lineRule="auto"/>
        <w:rPr>
          <w:sz w:val="24"/>
          <w:szCs w:val="24"/>
        </w:rPr>
      </w:pPr>
      <w:r>
        <w:rPr>
          <w:rFonts w:ascii="Times New Roman" w:eastAsia="Times New Roman" w:hAnsi="Times New Roman" w:cs="Times New Roman"/>
          <w:b/>
          <w:sz w:val="24"/>
          <w:szCs w:val="24"/>
        </w:rPr>
        <w:t xml:space="preserve">The Belt and Road Initiative (BRI) </w:t>
      </w:r>
    </w:p>
    <w:p w14:paraId="00000010"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September 2013, President Xi unveiled the audacious strategy of building a “New Silk Road Economic Belt” that aimed to</w:t>
      </w:r>
      <w:r>
        <w:rPr>
          <w:rFonts w:ascii="Times New Roman" w:eastAsia="Times New Roman" w:hAnsi="Times New Roman" w:cs="Times New Roman"/>
          <w:sz w:val="24"/>
          <w:szCs w:val="24"/>
        </w:rPr>
        <w:t xml:space="preserve"> connect China with a wide host of countries across Europe and Asia. Throughout the coming months, the president would expand his bilateral Belt and Road Initiative to also include a “21st century Maritime Silk Road” that would create shipping routes conne</w:t>
      </w:r>
      <w:r>
        <w:rPr>
          <w:rFonts w:ascii="Times New Roman" w:eastAsia="Times New Roman" w:hAnsi="Times New Roman" w:cs="Times New Roman"/>
          <w:sz w:val="24"/>
          <w:szCs w:val="24"/>
        </w:rPr>
        <w:t>cting to ports in Asia, Europe, and Africa.</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According to President Xi, the goal of the BRI is to coordinate economic development strategies, amplify market potential through </w:t>
      </w:r>
      <w:r>
        <w:rPr>
          <w:rFonts w:ascii="Times New Roman" w:eastAsia="Times New Roman" w:hAnsi="Times New Roman" w:cs="Times New Roman"/>
          <w:sz w:val="24"/>
          <w:szCs w:val="24"/>
        </w:rPr>
        <w:lastRenderedPageBreak/>
        <w:t>regional infrastructure development, increase local labor demand and jobs, and e</w:t>
      </w:r>
      <w:r>
        <w:rPr>
          <w:rFonts w:ascii="Times New Roman" w:eastAsia="Times New Roman" w:hAnsi="Times New Roman" w:cs="Times New Roman"/>
          <w:sz w:val="24"/>
          <w:szCs w:val="24"/>
        </w:rPr>
        <w:t>ncourage cultural understanding in participating countries.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proposed area of this “New Silk Road” was to cover over 70% of the world’s population, 55% of global gross national product, and 75% of known energy reserves.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If successfully implemented, </w:t>
      </w:r>
      <w:r>
        <w:rPr>
          <w:rFonts w:ascii="Times New Roman" w:eastAsia="Times New Roman" w:hAnsi="Times New Roman" w:cs="Times New Roman"/>
          <w:sz w:val="24"/>
          <w:szCs w:val="24"/>
        </w:rPr>
        <w:t>economic corridors and shipping routes created by the BRI could benefit millions of individuals living within its vicinity, particularly in developing economies where large infrastructure gaps were present. Moreover, the foundational establishment of new i</w:t>
      </w:r>
      <w:r>
        <w:rPr>
          <w:rFonts w:ascii="Times New Roman" w:eastAsia="Times New Roman" w:hAnsi="Times New Roman" w:cs="Times New Roman"/>
          <w:sz w:val="24"/>
          <w:szCs w:val="24"/>
        </w:rPr>
        <w:t>nfrastructure could initiate a positive feedback loop for foreign investment in underdeveloped BRI recipient countries, under which initial infrastructure will enhance the investment prospects and in turn, attract greater FDI inflows.</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w:t>
      </w:r>
    </w:p>
    <w:p w14:paraId="00000011"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announce</w:t>
      </w:r>
      <w:r>
        <w:rPr>
          <w:rFonts w:ascii="Times New Roman" w:eastAsia="Times New Roman" w:hAnsi="Times New Roman" w:cs="Times New Roman"/>
          <w:sz w:val="24"/>
          <w:szCs w:val="24"/>
        </w:rPr>
        <w:t>ment of the BRI, the construction of several bilateral and regional  land, sea, and air transportation projects have commenced in order to foster cross-border economic connectivity. By the end of 2018, China had signed sea transport agreements with over 47</w:t>
      </w:r>
      <w:r>
        <w:rPr>
          <w:rFonts w:ascii="Times New Roman" w:eastAsia="Times New Roman" w:hAnsi="Times New Roman" w:cs="Times New Roman"/>
          <w:sz w:val="24"/>
          <w:szCs w:val="24"/>
        </w:rPr>
        <w:t xml:space="preserve"> countries and has contributed in building 42 ports in 34 different countries, including Port of Hambantota in Sri Lanka and Port Piraeus in Greece. Similarly, the Chinese have participated in the construction of several international railways and bridges </w:t>
      </w:r>
      <w:r>
        <w:rPr>
          <w:rFonts w:ascii="Times New Roman" w:eastAsia="Times New Roman" w:hAnsi="Times New Roman" w:cs="Times New Roman"/>
          <w:sz w:val="24"/>
          <w:szCs w:val="24"/>
        </w:rPr>
        <w:t>across Europe, Asia, and Africa. In addition, China had expanded air routes to offer air transport services to over 40 countries across the BRI route.</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In order to finance these large infrastructure projects, Chinese SOEs and private enterprises draw from</w:t>
      </w:r>
      <w:r>
        <w:rPr>
          <w:rFonts w:ascii="Times New Roman" w:eastAsia="Times New Roman" w:hAnsi="Times New Roman" w:cs="Times New Roman"/>
          <w:sz w:val="24"/>
          <w:szCs w:val="24"/>
        </w:rPr>
        <w:t xml:space="preserve"> a variety of different funds including the Asian Infrastructure and Investment Bank (AIIB), the Silk Road Fund, the BRICs New Development Bank (NDB), and the Shanghai Cooperation Organization (SCO).</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While previous ODI projects were carried out </w:t>
      </w:r>
      <w:r>
        <w:rPr>
          <w:rFonts w:ascii="Times New Roman" w:eastAsia="Times New Roman" w:hAnsi="Times New Roman" w:cs="Times New Roman"/>
          <w:sz w:val="24"/>
          <w:szCs w:val="24"/>
        </w:rPr>
        <w:lastRenderedPageBreak/>
        <w:t xml:space="preserve">on an ad </w:t>
      </w:r>
      <w:r>
        <w:rPr>
          <w:rFonts w:ascii="Times New Roman" w:eastAsia="Times New Roman" w:hAnsi="Times New Roman" w:cs="Times New Roman"/>
          <w:sz w:val="24"/>
          <w:szCs w:val="24"/>
        </w:rPr>
        <w:t>hoc basis, new construction proposals that are branded as BRI projects are much likelier to reap the benefits of support from the Chinese government through perks such as cheap financing options.</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w:t>
      </w:r>
    </w:p>
    <w:p w14:paraId="00000012" w14:textId="77777777" w:rsidR="00511B64" w:rsidRDefault="00DB11B3">
      <w:pPr>
        <w:numPr>
          <w:ilvl w:val="0"/>
          <w:numId w:val="1"/>
        </w:num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 Controversies and Concerns</w:t>
      </w:r>
    </w:p>
    <w:p w14:paraId="00000013"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the immense promis</w:t>
      </w:r>
      <w:r>
        <w:rPr>
          <w:rFonts w:ascii="Times New Roman" w:eastAsia="Times New Roman" w:hAnsi="Times New Roman" w:cs="Times New Roman"/>
          <w:sz w:val="24"/>
          <w:szCs w:val="24"/>
        </w:rPr>
        <w:t>e of China’s monumental project, several concerns have arisen regarding the structural layout of the BRI. Chinese officials have denied that the BRI has a political agenda; however, it is worthy of noting the geopolitical concerns.  The majority of financi</w:t>
      </w:r>
      <w:r>
        <w:rPr>
          <w:rFonts w:ascii="Times New Roman" w:eastAsia="Times New Roman" w:hAnsi="Times New Roman" w:cs="Times New Roman"/>
          <w:sz w:val="24"/>
          <w:szCs w:val="24"/>
        </w:rPr>
        <w:t>ng for BRI projects are sourced by Chinese loans to the recipient countries, rather than grants. Although President Xi emphasized that the BRI is founded on the grounds of “mutual trust, equality, inclusiveness and mutual learning, and win-win cooperation,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there is considerable apprehension about China’s true motive in the costly infrastructure development projects. The majority of countries that have signed onto BRI agreements are developing economies with smaller markets. The risk of debt default is si</w:t>
      </w:r>
      <w:r>
        <w:rPr>
          <w:rFonts w:ascii="Times New Roman" w:eastAsia="Times New Roman" w:hAnsi="Times New Roman" w:cs="Times New Roman"/>
          <w:sz w:val="24"/>
          <w:szCs w:val="24"/>
        </w:rPr>
        <w:t>gnificantly more likely when these underdeveloped economies are issued loans that have a high debt-to-GDP ratio.</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Critics contend that the BRI is an instrument for China’s “debt-trap diplomacy” practice in which the BRI countries that fail to pay off larg</w:t>
      </w:r>
      <w:r>
        <w:rPr>
          <w:rFonts w:ascii="Times New Roman" w:eastAsia="Times New Roman" w:hAnsi="Times New Roman" w:cs="Times New Roman"/>
          <w:sz w:val="24"/>
          <w:szCs w:val="24"/>
        </w:rPr>
        <w:t xml:space="preserve">e Chinese loans are forced to cede land or pass policies that are favorable to China in order to recuperate losses. </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w:t>
      </w:r>
    </w:p>
    <w:p w14:paraId="00000014"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strategic underlying geopolitical motives are certainly present in the BRI, this focus is greatly overstated by foreign observ</w:t>
      </w:r>
      <w:r>
        <w:rPr>
          <w:rFonts w:ascii="Times New Roman" w:eastAsia="Times New Roman" w:hAnsi="Times New Roman" w:cs="Times New Roman"/>
          <w:sz w:val="24"/>
          <w:szCs w:val="24"/>
        </w:rPr>
        <w:t xml:space="preserve">ers. There appears to be few geographic restraints on </w:t>
      </w:r>
      <w:r>
        <w:rPr>
          <w:rFonts w:ascii="Times New Roman" w:eastAsia="Times New Roman" w:hAnsi="Times New Roman" w:cs="Times New Roman"/>
          <w:sz w:val="24"/>
          <w:szCs w:val="24"/>
        </w:rPr>
        <w:lastRenderedPageBreak/>
        <w:t>BRI membership, challenging the claims that strategic geopolitical expansion is China’s main motive for the Belt and Road Initiative. Although there has been a great deal of Chinese propaganda pushing f</w:t>
      </w:r>
      <w:r>
        <w:rPr>
          <w:rFonts w:ascii="Times New Roman" w:eastAsia="Times New Roman" w:hAnsi="Times New Roman" w:cs="Times New Roman"/>
          <w:sz w:val="24"/>
          <w:szCs w:val="24"/>
        </w:rPr>
        <w:t>orth this monumental global project, the specific details are unclear. President Xi has emphasized abstract goals such as policy coordination, economic and cultural connectivity, and financial integration, yet has failed to produce a concrete plan for proj</w:t>
      </w:r>
      <w:r>
        <w:rPr>
          <w:rFonts w:ascii="Times New Roman" w:eastAsia="Times New Roman" w:hAnsi="Times New Roman" w:cs="Times New Roman"/>
          <w:sz w:val="24"/>
          <w:szCs w:val="24"/>
        </w:rPr>
        <w:t>ect targets. Furthermore, Chinese reports claim that more than one hundred countries belong to BRI, but these loose agreements are often informal and subject to change.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It is often difficult to distinguish between BRI projects and regular ODI initiatives</w:t>
      </w:r>
      <w:r>
        <w:rPr>
          <w:rFonts w:ascii="Times New Roman" w:eastAsia="Times New Roman" w:hAnsi="Times New Roman" w:cs="Times New Roman"/>
          <w:sz w:val="24"/>
          <w:szCs w:val="24"/>
        </w:rPr>
        <w:t xml:space="preserve">, due to the lack of transparency surrounding bilateral deals. With no explicit definition beyond vague objectives, the BRI has become a blanket term used by the Chinese government which encapsulates general Chinese financing, investment, and construction </w:t>
      </w:r>
      <w:r>
        <w:rPr>
          <w:rFonts w:ascii="Times New Roman" w:eastAsia="Times New Roman" w:hAnsi="Times New Roman" w:cs="Times New Roman"/>
          <w:sz w:val="24"/>
          <w:szCs w:val="24"/>
        </w:rPr>
        <w:t>projects abroad.</w:t>
      </w:r>
    </w:p>
    <w:p w14:paraId="00000015"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Thus, while the BRI has been branded as a Chinese ODI initiative, upon closer examination, it actually resembles a hybrid model in which the Chinese state seeks to combine high profitability and geopolitical motivation into a single policy. Typically, ente</w:t>
      </w:r>
      <w:r>
        <w:rPr>
          <w:rFonts w:ascii="Times New Roman" w:eastAsia="Times New Roman" w:hAnsi="Times New Roman" w:cs="Times New Roman"/>
          <w:sz w:val="24"/>
          <w:szCs w:val="24"/>
        </w:rPr>
        <w:t>rprises that seek to expand globally secure one of three types of financial support that vary in which the funding prioritizes the orientation between strategic national interests and market profits. While commercial finance aims to make profit, policy-bas</w:t>
      </w:r>
      <w:r>
        <w:rPr>
          <w:rFonts w:ascii="Times New Roman" w:eastAsia="Times New Roman" w:hAnsi="Times New Roman" w:cs="Times New Roman"/>
          <w:sz w:val="24"/>
          <w:szCs w:val="24"/>
        </w:rPr>
        <w:t>ed finance seeks to support national strategies without regard to conventional market principles or profitability. Developmental finance attempts to strike a sustainable blend of both financing options and promotes the national interest while breaking even</w:t>
      </w:r>
      <w:r>
        <w:rPr>
          <w:rFonts w:ascii="Times New Roman" w:eastAsia="Times New Roman" w:hAnsi="Times New Roman" w:cs="Times New Roman"/>
          <w:sz w:val="24"/>
          <w:szCs w:val="24"/>
        </w:rPr>
        <w:t xml:space="preserve"> or maintaining a slim profit margin on the project.</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In contrast, the BRI attempts to maximize profits while bolstering China’s international presence as part of President </w:t>
      </w:r>
      <w:r>
        <w:rPr>
          <w:rFonts w:ascii="Times New Roman" w:eastAsia="Times New Roman" w:hAnsi="Times New Roman" w:cs="Times New Roman"/>
          <w:sz w:val="24"/>
          <w:szCs w:val="24"/>
        </w:rPr>
        <w:lastRenderedPageBreak/>
        <w:t>Xi’s “China Dream” political vision. While seeking to obtain both components, the results of this  hybrid financing model have proven to</w:t>
      </w:r>
      <w:r>
        <w:rPr>
          <w:rFonts w:ascii="Times New Roman" w:eastAsia="Times New Roman" w:hAnsi="Times New Roman" w:cs="Times New Roman"/>
          <w:sz w:val="24"/>
          <w:szCs w:val="24"/>
        </w:rPr>
        <w:t xml:space="preserve"> be varied, as demonstrated in the case studies of the Port of Hambantota and the Port of Piraeus. </w:t>
      </w:r>
    </w:p>
    <w:p w14:paraId="00000016" w14:textId="77777777" w:rsidR="00511B64" w:rsidRDefault="00DB11B3">
      <w:pPr>
        <w:numPr>
          <w:ilvl w:val="0"/>
          <w:numId w:val="1"/>
        </w:numPr>
        <w:spacing w:before="240" w:after="240" w:line="480" w:lineRule="auto"/>
        <w:rPr>
          <w:sz w:val="24"/>
          <w:szCs w:val="24"/>
        </w:rPr>
      </w:pPr>
      <w:r>
        <w:rPr>
          <w:rFonts w:ascii="Times New Roman" w:eastAsia="Times New Roman" w:hAnsi="Times New Roman" w:cs="Times New Roman"/>
          <w:b/>
          <w:sz w:val="24"/>
          <w:szCs w:val="24"/>
        </w:rPr>
        <w:t xml:space="preserve">Port of Hambantota </w:t>
      </w:r>
    </w:p>
    <w:p w14:paraId="00000017" w14:textId="77777777" w:rsidR="00511B64" w:rsidRDefault="00DB11B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construction of the Sri Lankan Port of Hambantota began in 2008, with the first phase of the port opening in 2010. The Export-Impor</w:t>
      </w:r>
      <w:r>
        <w:rPr>
          <w:rFonts w:ascii="Times New Roman" w:eastAsia="Times New Roman" w:hAnsi="Times New Roman" w:cs="Times New Roman"/>
          <w:sz w:val="24"/>
          <w:szCs w:val="24"/>
        </w:rPr>
        <w:t>t Bank of the People’s Republic of China (EXIM) funded 85% of the first phase configuration, which in total cost $361 million.</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 Upon completion, the Port of Hambantota was originally expected to be the largest maritime port in the world. Located in the im</w:t>
      </w:r>
      <w:r>
        <w:rPr>
          <w:rFonts w:ascii="Times New Roman" w:eastAsia="Times New Roman" w:hAnsi="Times New Roman" w:cs="Times New Roman"/>
          <w:sz w:val="24"/>
          <w:szCs w:val="24"/>
        </w:rPr>
        <w:t>portant access point to the Indian Ocean, Sri Lanka intercepts a strategically critical shipping lane that is one of the busiest global trade routes in the world, with 64% of global trade passing through.</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The Port of Hambantota had large promise due to i</w:t>
      </w:r>
      <w:r>
        <w:rPr>
          <w:rFonts w:ascii="Times New Roman" w:eastAsia="Times New Roman" w:hAnsi="Times New Roman" w:cs="Times New Roman"/>
          <w:sz w:val="24"/>
          <w:szCs w:val="24"/>
        </w:rPr>
        <w:t xml:space="preserve">ts geographic location, and expectations were high for the construction of this maritime port. </w:t>
      </w:r>
    </w:p>
    <w:p w14:paraId="00000018"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the results of phase one proved to be disappointing, with extremely low throughput that did not justify the large quantities of Chinese capital that ha</w:t>
      </w:r>
      <w:r>
        <w:rPr>
          <w:rFonts w:ascii="Times New Roman" w:eastAsia="Times New Roman" w:hAnsi="Times New Roman" w:cs="Times New Roman"/>
          <w:sz w:val="24"/>
          <w:szCs w:val="24"/>
        </w:rPr>
        <w:t>d been poured into the port’s construction. The majority of cargo ships passing Sri Lanka chose to dock at the nearby port in Colombo instead; while 3,667 ships berthed at the Port of Colombo in 2012, the Port of Hambantota only attracted 34 ships.</w:t>
      </w:r>
      <w:r>
        <w:rPr>
          <w:rFonts w:ascii="Times New Roman" w:eastAsia="Times New Roman" w:hAnsi="Times New Roman" w:cs="Times New Roman"/>
          <w:sz w:val="24"/>
          <w:szCs w:val="24"/>
          <w:vertAlign w:val="superscript"/>
        </w:rPr>
        <w:footnoteReference w:id="34"/>
      </w:r>
      <w:r>
        <w:rPr>
          <w:rFonts w:ascii="Times New Roman" w:eastAsia="Times New Roman" w:hAnsi="Times New Roman" w:cs="Times New Roman"/>
          <w:sz w:val="24"/>
          <w:szCs w:val="24"/>
        </w:rPr>
        <w:t xml:space="preserve"> In 20</w:t>
      </w:r>
      <w:r>
        <w:rPr>
          <w:rFonts w:ascii="Times New Roman" w:eastAsia="Times New Roman" w:hAnsi="Times New Roman" w:cs="Times New Roman"/>
          <w:sz w:val="24"/>
          <w:szCs w:val="24"/>
        </w:rPr>
        <w:t>16, the Port of Hambantota was still failing to be profitable, only bringing in $11.8 million of revenue with a pre-tax operating profit of $1 million. In the same year, Sri Lanka’s foreign debt climbed to $25.3 billion.</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In response to this </w:t>
      </w:r>
      <w:r>
        <w:rPr>
          <w:rFonts w:ascii="Times New Roman" w:eastAsia="Times New Roman" w:hAnsi="Times New Roman" w:cs="Times New Roman"/>
          <w:sz w:val="24"/>
          <w:szCs w:val="24"/>
        </w:rPr>
        <w:lastRenderedPageBreak/>
        <w:t xml:space="preserve">debt burden, </w:t>
      </w:r>
      <w:r>
        <w:rPr>
          <w:rFonts w:ascii="Times New Roman" w:eastAsia="Times New Roman" w:hAnsi="Times New Roman" w:cs="Times New Roman"/>
          <w:sz w:val="24"/>
          <w:szCs w:val="24"/>
        </w:rPr>
        <w:t>Sri Lanka signed a 99-year lease in 2017 to operate the Port of Hambantota as a Private-Public Partnership (PPP) initiative with China Merchants Port Holdings Company Limited (CM Port) for $1.1 billion. This agreement granted a 70% majority stake ownership</w:t>
      </w:r>
      <w:r>
        <w:rPr>
          <w:rFonts w:ascii="Times New Roman" w:eastAsia="Times New Roman" w:hAnsi="Times New Roman" w:cs="Times New Roman"/>
          <w:sz w:val="24"/>
          <w:szCs w:val="24"/>
        </w:rPr>
        <w:t xml:space="preserve"> of the Port of Hambantota and 15,000 acres of surrounding land that is being converted into an industrial zone that aims to increase traffic through the port.</w:t>
      </w:r>
      <w:r>
        <w:rPr>
          <w:rFonts w:ascii="Times New Roman" w:eastAsia="Times New Roman" w:hAnsi="Times New Roman" w:cs="Times New Roman"/>
          <w:sz w:val="24"/>
          <w:szCs w:val="24"/>
          <w:vertAlign w:val="superscript"/>
        </w:rPr>
        <w:footnoteReference w:id="36"/>
      </w:r>
      <w:r>
        <w:rPr>
          <w:rFonts w:ascii="Times New Roman" w:eastAsia="Times New Roman" w:hAnsi="Times New Roman" w:cs="Times New Roman"/>
          <w:sz w:val="24"/>
          <w:szCs w:val="24"/>
        </w:rPr>
        <w:t xml:space="preserve"> The remaining 30% ownership stake remained in the commercial control of the Sri Lanka Ports Au</w:t>
      </w:r>
      <w:r>
        <w:rPr>
          <w:rFonts w:ascii="Times New Roman" w:eastAsia="Times New Roman" w:hAnsi="Times New Roman" w:cs="Times New Roman"/>
          <w:sz w:val="24"/>
          <w:szCs w:val="24"/>
        </w:rPr>
        <w:t>thority (SLPA) with the government of Sri Lanka retaining overall port ownership.</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It is important to note that this is not a debt-equity swap in which China cancels Sri Lanka’s debt in exchange for the port. The lease deal is completely separate and inde</w:t>
      </w:r>
      <w:r>
        <w:rPr>
          <w:rFonts w:ascii="Times New Roman" w:eastAsia="Times New Roman" w:hAnsi="Times New Roman" w:cs="Times New Roman"/>
          <w:sz w:val="24"/>
          <w:szCs w:val="24"/>
        </w:rPr>
        <w:t>pendent of the EXIM Bank loans that Sri Lanka’s government is still working to pay off.</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Furthermore, while EXIM Bank invested in the initial development of the Port of Hambantota for the political reason of progressing President Xi’s BRI plans, the CM Po</w:t>
      </w:r>
      <w:r>
        <w:rPr>
          <w:rFonts w:ascii="Times New Roman" w:eastAsia="Times New Roman" w:hAnsi="Times New Roman" w:cs="Times New Roman"/>
          <w:sz w:val="24"/>
          <w:szCs w:val="24"/>
        </w:rPr>
        <w:t xml:space="preserve">rt’s involvement in the port’s lease is evidently commercial. If CM Port can rework the port so that it becomes profitable, this Chinese partial-SOE will reap most of the benefits from the additional development. </w:t>
      </w:r>
    </w:p>
    <w:p w14:paraId="00000019"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media, the failure of the Port of H</w:t>
      </w:r>
      <w:r>
        <w:rPr>
          <w:rFonts w:ascii="Times New Roman" w:eastAsia="Times New Roman" w:hAnsi="Times New Roman" w:cs="Times New Roman"/>
          <w:sz w:val="24"/>
          <w:szCs w:val="24"/>
        </w:rPr>
        <w:t xml:space="preserve">ambantota project is most often referenced in speculating about the hidden geopolitical motives of the BRI and the failure of China to maintain its promises of equity and mutual beneficiality in its global infrastructure development. Following the 99-year </w:t>
      </w:r>
      <w:r>
        <w:rPr>
          <w:rFonts w:ascii="Times New Roman" w:eastAsia="Times New Roman" w:hAnsi="Times New Roman" w:cs="Times New Roman"/>
          <w:sz w:val="24"/>
          <w:szCs w:val="24"/>
        </w:rPr>
        <w:t>lease agreement, there was speculation in the international community  of China’s intentions to establish a military base in the Port of Hambantota. However, those fears were quelled by Sri Lankan public officials who rejected the theories, including Prime</w:t>
      </w:r>
      <w:r>
        <w:rPr>
          <w:rFonts w:ascii="Times New Roman" w:eastAsia="Times New Roman" w:hAnsi="Times New Roman" w:cs="Times New Roman"/>
          <w:sz w:val="24"/>
          <w:szCs w:val="24"/>
        </w:rPr>
        <w:t xml:space="preserve"> Minister Ranil Wickremesinghe and the Chief of Defense Staff Shavendra Silva. As Wickremesingh </w:t>
      </w:r>
      <w:r>
        <w:rPr>
          <w:rFonts w:ascii="Times New Roman" w:eastAsia="Times New Roman" w:hAnsi="Times New Roman" w:cs="Times New Roman"/>
          <w:sz w:val="24"/>
          <w:szCs w:val="24"/>
        </w:rPr>
        <w:lastRenderedPageBreak/>
        <w:t>asserted in August 2017, “Sri Lanka headed by President Maithripala Sirisena does not enter into military alliances with any country or make our bases available</w:t>
      </w:r>
      <w:r>
        <w:rPr>
          <w:rFonts w:ascii="Times New Roman" w:eastAsia="Times New Roman" w:hAnsi="Times New Roman" w:cs="Times New Roman"/>
          <w:sz w:val="24"/>
          <w:szCs w:val="24"/>
        </w:rPr>
        <w:t xml:space="preserve"> to foreign countries.”</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Therefore, the precedent set by these government officials refute the argument that Hambantota will become a strategic location for Chinese military deployment. </w:t>
      </w:r>
    </w:p>
    <w:p w14:paraId="0000001A"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high interest rates of commercial loans granted by </w:t>
      </w:r>
      <w:r>
        <w:rPr>
          <w:rFonts w:ascii="Times New Roman" w:eastAsia="Times New Roman" w:hAnsi="Times New Roman" w:cs="Times New Roman"/>
          <w:sz w:val="24"/>
          <w:szCs w:val="24"/>
        </w:rPr>
        <w:t>China’s EXIM Bank in the initial phase one construction of the Port of Hambantota are often cited to support the argument of China’s “debt trap diplomacy” tactics. Contrary to the popular narrative however, only two of the five received by the Sri Lankan g</w:t>
      </w:r>
      <w:r>
        <w:rPr>
          <w:rFonts w:ascii="Times New Roman" w:eastAsia="Times New Roman" w:hAnsi="Times New Roman" w:cs="Times New Roman"/>
          <w:sz w:val="24"/>
          <w:szCs w:val="24"/>
        </w:rPr>
        <w:t>overnment were obtained as commercial loans that had interest rates ranging as high as 6%. The majority of China’s $1.3 billion loans were concessionary; meanwhile, the two commercial loans only amounted to $357 million collectively.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Out of the $55 billi</w:t>
      </w:r>
      <w:r>
        <w:rPr>
          <w:rFonts w:ascii="Times New Roman" w:eastAsia="Times New Roman" w:hAnsi="Times New Roman" w:cs="Times New Roman"/>
          <w:sz w:val="24"/>
          <w:szCs w:val="24"/>
        </w:rPr>
        <w:t>on of debt that Sri Lanka had amassed, only 11% were Chinese loans from infrastructure projects and the Chinese loans granted for the construction costs of the Port of Hambantota amounted to less than 5% of total foreign debt that Sri Lanka was expected to</w:t>
      </w:r>
      <w:r>
        <w:rPr>
          <w:rFonts w:ascii="Times New Roman" w:eastAsia="Times New Roman" w:hAnsi="Times New Roman" w:cs="Times New Roman"/>
          <w:sz w:val="24"/>
          <w:szCs w:val="24"/>
        </w:rPr>
        <w:t xml:space="preserve"> repay.</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These statistics challenge the accusations of the Port of Hambantota being a debt-trap instrument used by China in order to accumulate greater geopolitical power. Sri Lanka’s foreign debt distress is more reflective of the poor financial decision</w:t>
      </w:r>
      <w:r>
        <w:rPr>
          <w:rFonts w:ascii="Times New Roman" w:eastAsia="Times New Roman" w:hAnsi="Times New Roman" w:cs="Times New Roman"/>
          <w:sz w:val="24"/>
          <w:szCs w:val="24"/>
        </w:rPr>
        <w:t xml:space="preserve"> of former president Mahinda Rajapaksa’s government to accept any foreign loans with high interest rates during a period in which the country urgently required fiscal consolidation instead. </w:t>
      </w:r>
    </w:p>
    <w:p w14:paraId="0000001B"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a larger scale, the failure of Port of Hambantota indicates th</w:t>
      </w:r>
      <w:r>
        <w:rPr>
          <w:rFonts w:ascii="Times New Roman" w:eastAsia="Times New Roman" w:hAnsi="Times New Roman" w:cs="Times New Roman"/>
          <w:sz w:val="24"/>
          <w:szCs w:val="24"/>
        </w:rPr>
        <w:t xml:space="preserve">e pitfalls of the Chinese greenfield development strategy when attempting to both maximize profitability and fulfill </w:t>
      </w:r>
      <w:r>
        <w:rPr>
          <w:rFonts w:ascii="Times New Roman" w:eastAsia="Times New Roman" w:hAnsi="Times New Roman" w:cs="Times New Roman"/>
          <w:sz w:val="24"/>
          <w:szCs w:val="24"/>
        </w:rPr>
        <w:lastRenderedPageBreak/>
        <w:t>President Xi’s amorphous BRI goals. Although the evidence does prove definite geopolitical motives, such as China’s desire to avoid the Str</w:t>
      </w:r>
      <w:r>
        <w:rPr>
          <w:rFonts w:ascii="Times New Roman" w:eastAsia="Times New Roman" w:hAnsi="Times New Roman" w:cs="Times New Roman"/>
          <w:sz w:val="24"/>
          <w:szCs w:val="24"/>
        </w:rPr>
        <w:t>ait of Malacca choke point, the inability of the Port of Hambantota to achieve its projected success is much more representative of the Chinese government’s failure to conduct proper due diligence when approving the construction of new BRI projects. Buildi</w:t>
      </w:r>
      <w:r>
        <w:rPr>
          <w:rFonts w:ascii="Times New Roman" w:eastAsia="Times New Roman" w:hAnsi="Times New Roman" w:cs="Times New Roman"/>
          <w:sz w:val="24"/>
          <w:szCs w:val="24"/>
        </w:rPr>
        <w:t>ng a port in Hambantota had been part of the Sri Lankan government’s development plan since 2002. Elected in 2005, former president Mahinda Rajapaksa had made promises to develop Sri Lanka’s southern region, including his hometown of Hambantota.</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Both Raj</w:t>
      </w:r>
      <w:r>
        <w:rPr>
          <w:rFonts w:ascii="Times New Roman" w:eastAsia="Times New Roman" w:hAnsi="Times New Roman" w:cs="Times New Roman"/>
          <w:sz w:val="24"/>
          <w:szCs w:val="24"/>
        </w:rPr>
        <w:t>apaksa and Chinese developers ignored the fact that the Port of Colombo, Sri Lanka’s biggest port which was located just 150 miles away and handled 95% of the country’s international trade, had not reached its handling capacity. Much of the Port of Hambant</w:t>
      </w:r>
      <w:r>
        <w:rPr>
          <w:rFonts w:ascii="Times New Roman" w:eastAsia="Times New Roman" w:hAnsi="Times New Roman" w:cs="Times New Roman"/>
          <w:sz w:val="24"/>
          <w:szCs w:val="24"/>
        </w:rPr>
        <w:t>ota’s services overlapped the existing amenities that were already offered by the Port of Colombo. Furthermore, EXIM Bank was the only institution that made an offer to fund the construction of the Port of Hambantota, indicating that other potential invest</w:t>
      </w:r>
      <w:r>
        <w:rPr>
          <w:rFonts w:ascii="Times New Roman" w:eastAsia="Times New Roman" w:hAnsi="Times New Roman" w:cs="Times New Roman"/>
          <w:sz w:val="24"/>
          <w:szCs w:val="24"/>
        </w:rPr>
        <w:t>ors did not see the benefits outweighing the large risks in this port project.</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The 99-year lease of the Port of Hambantota to CM Port, the largest port operator in China, represents a last-ditch effort for China to transform this failed BRI infrastructur</w:t>
      </w:r>
      <w:r>
        <w:rPr>
          <w:rFonts w:ascii="Times New Roman" w:eastAsia="Times New Roman" w:hAnsi="Times New Roman" w:cs="Times New Roman"/>
          <w:sz w:val="24"/>
          <w:szCs w:val="24"/>
        </w:rPr>
        <w:t>e project into a profitable venture. On top of the $1.2 billion lease payment, CM Port is expecting to spend another $700-800 million on development in order to bring the port to full capacity operational level.</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rPr>
        <w:t xml:space="preserve"> The huge cost of this additional developme</w:t>
      </w:r>
      <w:r>
        <w:rPr>
          <w:rFonts w:ascii="Times New Roman" w:eastAsia="Times New Roman" w:hAnsi="Times New Roman" w:cs="Times New Roman"/>
          <w:sz w:val="24"/>
          <w:szCs w:val="24"/>
        </w:rPr>
        <w:t xml:space="preserve">nt highlights the unexpected difficulty in scaling up new infrastructure in attempts to create a market that is currently lacking. Thus, it was clear that there was lacking demand for a new Port in Hambantota, yet China’s focus on commencing on commencing </w:t>
      </w:r>
      <w:r>
        <w:rPr>
          <w:rFonts w:ascii="Times New Roman" w:eastAsia="Times New Roman" w:hAnsi="Times New Roman" w:cs="Times New Roman"/>
          <w:sz w:val="24"/>
          <w:szCs w:val="24"/>
        </w:rPr>
        <w:t xml:space="preserve">greenfield development as </w:t>
      </w:r>
      <w:r>
        <w:rPr>
          <w:rFonts w:ascii="Times New Roman" w:eastAsia="Times New Roman" w:hAnsi="Times New Roman" w:cs="Times New Roman"/>
          <w:sz w:val="24"/>
          <w:szCs w:val="24"/>
        </w:rPr>
        <w:lastRenderedPageBreak/>
        <w:t xml:space="preserve">quickly as possible to establish the feasibility of President Xi’s BRI and “China Dream” vision were based on faulty, unproven ideals that overlooked the reality of Hambantota, Sri Lanka. </w:t>
      </w:r>
    </w:p>
    <w:p w14:paraId="0000001C" w14:textId="77777777" w:rsidR="00511B64" w:rsidRDefault="00DB11B3">
      <w:pPr>
        <w:numPr>
          <w:ilvl w:val="0"/>
          <w:numId w:val="1"/>
        </w:num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Port of Piraeus </w:t>
      </w:r>
    </w:p>
    <w:p w14:paraId="0000001D" w14:textId="77777777" w:rsidR="00511B64" w:rsidRDefault="00DB11B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acquisition of the </w:t>
      </w:r>
      <w:r>
        <w:rPr>
          <w:rFonts w:ascii="Times New Roman" w:eastAsia="Times New Roman" w:hAnsi="Times New Roman" w:cs="Times New Roman"/>
          <w:sz w:val="24"/>
          <w:szCs w:val="24"/>
        </w:rPr>
        <w:t xml:space="preserve">Port of Piraeus by the Chinese shipping and logistics SOE, China Ocean Shipping Company (COSCO), reflected China’s ODI strategy of investing in existing infrastructure in developed countries that were discounted as a result of the global financial crisis. </w:t>
      </w:r>
      <w:r>
        <w:rPr>
          <w:rFonts w:ascii="Times New Roman" w:eastAsia="Times New Roman" w:hAnsi="Times New Roman" w:cs="Times New Roman"/>
          <w:sz w:val="24"/>
          <w:szCs w:val="24"/>
        </w:rPr>
        <w:t xml:space="preserve">In the midst of Greece’s government-debt crisis in 2009, the Greek government agreed to lease two container terminals of the Port of Piraeus to COSCO for 35 years. Although there was protest and concern over the labor conditions under Chinese supervision, </w:t>
      </w:r>
      <w:r>
        <w:rPr>
          <w:rFonts w:ascii="Times New Roman" w:eastAsia="Times New Roman" w:hAnsi="Times New Roman" w:cs="Times New Roman"/>
          <w:sz w:val="24"/>
          <w:szCs w:val="24"/>
        </w:rPr>
        <w:t>the Port of Piraeus continued its growth and development as a critical distribution center and transhipment hub in Europe and the Mediterranean. Economic performance and productivity at the Port of Piraeus drastically improved under COSCO operations; the c</w:t>
      </w:r>
      <w:r>
        <w:rPr>
          <w:rFonts w:ascii="Times New Roman" w:eastAsia="Times New Roman" w:hAnsi="Times New Roman" w:cs="Times New Roman"/>
          <w:sz w:val="24"/>
          <w:szCs w:val="24"/>
        </w:rPr>
        <w:t>argo volume passing through Chinese operated port terminals tripled in 2012, merely three years after the initial lease was signed. By 2014, the Port of Piraeus became the fastest growing container port in the world.</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Since COSCO purchased 51% majority st</w:t>
      </w:r>
      <w:r>
        <w:rPr>
          <w:rFonts w:ascii="Times New Roman" w:eastAsia="Times New Roman" w:hAnsi="Times New Roman" w:cs="Times New Roman"/>
          <w:sz w:val="24"/>
          <w:szCs w:val="24"/>
        </w:rPr>
        <w:t>ake ownership of the Port of Piraeus in 2016, the port’s gross profit has more than doubled to nearly $80 million, undergoing a dramatic 128% growth in just three years.</w:t>
      </w:r>
      <w:r>
        <w:rPr>
          <w:rFonts w:ascii="Times New Roman" w:eastAsia="Times New Roman" w:hAnsi="Times New Roman" w:cs="Times New Roman"/>
          <w:b/>
          <w:sz w:val="24"/>
          <w:szCs w:val="24"/>
          <w:vertAlign w:val="superscript"/>
        </w:rPr>
        <w:footnoteReference w:id="46"/>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COSCO has continued to push ahead on the project, with future plans to turn the Port of Piraeus into Europe’s biggest commercial port.</w:t>
      </w:r>
    </w:p>
    <w:p w14:paraId="0000001E" w14:textId="77777777" w:rsidR="00511B64" w:rsidRDefault="00DB11B3">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While COSCO has greatly contributed in amplifying efficiency and economic productivity, the massive success and promising profits that have been accumulated through </w:t>
      </w:r>
      <w:r>
        <w:rPr>
          <w:rFonts w:ascii="Times New Roman" w:eastAsia="Times New Roman" w:hAnsi="Times New Roman" w:cs="Times New Roman"/>
          <w:sz w:val="24"/>
          <w:szCs w:val="24"/>
        </w:rPr>
        <w:lastRenderedPageBreak/>
        <w:t>China’s investment in the Port of Piraeus cannot solely be attributed to COSCO’s involvemen</w:t>
      </w:r>
      <w:r>
        <w:rPr>
          <w:rFonts w:ascii="Times New Roman" w:eastAsia="Times New Roman" w:hAnsi="Times New Roman" w:cs="Times New Roman"/>
          <w:sz w:val="24"/>
          <w:szCs w:val="24"/>
        </w:rPr>
        <w:t>t. Prior to Chinese engagement, the Port of Piraeus was already a long established and reputable port. Before the financial shock of the Great Recession was fully felt by the global supply chain, the Port of Piraeus reported its gross profits in 2007 to be</w:t>
      </w:r>
      <w:r>
        <w:rPr>
          <w:rFonts w:ascii="Times New Roman" w:eastAsia="Times New Roman" w:hAnsi="Times New Roman" w:cs="Times New Roman"/>
          <w:sz w:val="24"/>
          <w:szCs w:val="24"/>
        </w:rPr>
        <w:t xml:space="preserve"> $48.5 million, the port’s all-time high after consistent year-on-year growth.</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It is clear that the Port of Piraeus demonstrated consistent historical performance and would be a secure investment choice. The successful case of Chinese investment in the G</w:t>
      </w:r>
      <w:r>
        <w:rPr>
          <w:rFonts w:ascii="Times New Roman" w:eastAsia="Times New Roman" w:hAnsi="Times New Roman" w:cs="Times New Roman"/>
          <w:sz w:val="24"/>
          <w:szCs w:val="24"/>
        </w:rPr>
        <w:t xml:space="preserve">reek Port of Piraeus demonstrates the effectiveness of brownfield acquisitions for such a large infrastructure project such as the BRI. These brownfield investments often have a proven track record of profitability and market demand and additional Chinese </w:t>
      </w:r>
      <w:r>
        <w:rPr>
          <w:rFonts w:ascii="Times New Roman" w:eastAsia="Times New Roman" w:hAnsi="Times New Roman" w:cs="Times New Roman"/>
          <w:sz w:val="24"/>
          <w:szCs w:val="24"/>
        </w:rPr>
        <w:t xml:space="preserve">BRI capital can be utilized to further strengthen and enhance these operations while progressing President Xi’s  BRI objectives in a practical and sustainable way. </w:t>
      </w:r>
    </w:p>
    <w:p w14:paraId="0000001F" w14:textId="77777777" w:rsidR="00511B64" w:rsidRDefault="00DB11B3">
      <w:pPr>
        <w:numPr>
          <w:ilvl w:val="0"/>
          <w:numId w:val="1"/>
        </w:numPr>
        <w:spacing w:before="240" w:after="240" w:line="480" w:lineRule="auto"/>
        <w:rPr>
          <w:sz w:val="24"/>
          <w:szCs w:val="24"/>
        </w:rPr>
      </w:pPr>
      <w:r>
        <w:rPr>
          <w:rFonts w:ascii="Times New Roman" w:eastAsia="Times New Roman" w:hAnsi="Times New Roman" w:cs="Times New Roman"/>
          <w:b/>
          <w:sz w:val="24"/>
          <w:szCs w:val="24"/>
        </w:rPr>
        <w:t>Conclusion</w:t>
      </w:r>
    </w:p>
    <w:p w14:paraId="00000020"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contrasting two completed BRI projects, Sri Lankan Port of Hambantota wi</w:t>
      </w:r>
      <w:r>
        <w:rPr>
          <w:rFonts w:ascii="Times New Roman" w:eastAsia="Times New Roman" w:hAnsi="Times New Roman" w:cs="Times New Roman"/>
          <w:sz w:val="24"/>
          <w:szCs w:val="24"/>
        </w:rPr>
        <w:t>th the Greek Port of Piraeus, it is evident that brownfield developments with an established financial record are safer and more profitable investments than BRI greenfield projects, which are often constructed without proper due diligence. While greenfield</w:t>
      </w:r>
      <w:r>
        <w:rPr>
          <w:rFonts w:ascii="Times New Roman" w:eastAsia="Times New Roman" w:hAnsi="Times New Roman" w:cs="Times New Roman"/>
          <w:sz w:val="24"/>
          <w:szCs w:val="24"/>
        </w:rPr>
        <w:t xml:space="preserve"> projects of the BRI promise to fill in infrastructure gaps and create a mutually beneficial economic and cultural exchange, Chinese efforts are often problematic and do not lead to the expected positive outcomes which it promotes. As demonstrated by the f</w:t>
      </w:r>
      <w:r>
        <w:rPr>
          <w:rFonts w:ascii="Times New Roman" w:eastAsia="Times New Roman" w:hAnsi="Times New Roman" w:cs="Times New Roman"/>
          <w:sz w:val="24"/>
          <w:szCs w:val="24"/>
        </w:rPr>
        <w:t xml:space="preserve">ailure of the Port of Hambantota to meet expectations, large-scale greenfield BRI projects are typically characterized by long cycles, slow payback, and uncertain profitability-- all of the financial risks that are associated with the greenfield </w:t>
      </w:r>
      <w:r>
        <w:rPr>
          <w:rFonts w:ascii="Times New Roman" w:eastAsia="Times New Roman" w:hAnsi="Times New Roman" w:cs="Times New Roman"/>
          <w:sz w:val="24"/>
          <w:szCs w:val="24"/>
        </w:rPr>
        <w:lastRenderedPageBreak/>
        <w:t>developmen</w:t>
      </w:r>
      <w:r>
        <w:rPr>
          <w:rFonts w:ascii="Times New Roman" w:eastAsia="Times New Roman" w:hAnsi="Times New Roman" w:cs="Times New Roman"/>
          <w:sz w:val="24"/>
          <w:szCs w:val="24"/>
        </w:rPr>
        <w:t>t framework. There is often high uncertainty associated with these greenfield projects due to factors including political instability of recipient countries, inability for developing countries to pay back large Chinese loans, and hasty projects that are co</w:t>
      </w:r>
      <w:r>
        <w:rPr>
          <w:rFonts w:ascii="Times New Roman" w:eastAsia="Times New Roman" w:hAnsi="Times New Roman" w:cs="Times New Roman"/>
          <w:sz w:val="24"/>
          <w:szCs w:val="24"/>
        </w:rPr>
        <w:t xml:space="preserve">nstructed without proven evidence of demand. Moving forward, China should instead focus on channeling its BRI funding into brownfield investments that have established records of economic demand. </w:t>
      </w:r>
    </w:p>
    <w:p w14:paraId="00000021" w14:textId="77777777" w:rsidR="00511B64" w:rsidRDefault="00DB11B3">
      <w:pPr>
        <w:spacing w:before="240" w:after="24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Belt and Road Initiative is largely representative of C</w:t>
      </w:r>
      <w:r>
        <w:rPr>
          <w:rFonts w:ascii="Times New Roman" w:eastAsia="Times New Roman" w:hAnsi="Times New Roman" w:cs="Times New Roman"/>
          <w:sz w:val="24"/>
          <w:szCs w:val="24"/>
        </w:rPr>
        <w:t xml:space="preserve">hina’s pivot away from its traditionally acquiescent international presence that had been promoted by former president Deng Xiaoping into the global political and economic leader of President Xi Jinping’s “China Dream.” Although China has been a long-time </w:t>
      </w:r>
      <w:r>
        <w:rPr>
          <w:rFonts w:ascii="Times New Roman" w:eastAsia="Times New Roman" w:hAnsi="Times New Roman" w:cs="Times New Roman"/>
          <w:sz w:val="24"/>
          <w:szCs w:val="24"/>
        </w:rPr>
        <w:t>investor in developing markets, the BRI emphasizes a new level of economic connectivity between both developing and developed countries across Europe, Asia, and Africa. Despite the optimism of participating BRI countries, the unspecified focus of the BRI i</w:t>
      </w:r>
      <w:r>
        <w:rPr>
          <w:rFonts w:ascii="Times New Roman" w:eastAsia="Times New Roman" w:hAnsi="Times New Roman" w:cs="Times New Roman"/>
          <w:sz w:val="24"/>
          <w:szCs w:val="24"/>
        </w:rPr>
        <w:t xml:space="preserve">s indicative of a wider issue of insufficient planning that will continue to result in project pitfalls if not immediately addressed. The hybrid model that the BRI follows fails to set clear objectives and instead attempts to address both the economic and </w:t>
      </w:r>
      <w:r>
        <w:rPr>
          <w:rFonts w:ascii="Times New Roman" w:eastAsia="Times New Roman" w:hAnsi="Times New Roman" w:cs="Times New Roman"/>
          <w:sz w:val="24"/>
          <w:szCs w:val="24"/>
        </w:rPr>
        <w:t>political front at once. Economically, it aims to maximize China’s industrial capacity and provide reliable transportation routes for transnational trade. Politically, the BRI aims to advance Xi Jinping’s “China Dream,” by strengthening the country’s leade</w:t>
      </w:r>
      <w:r>
        <w:rPr>
          <w:rFonts w:ascii="Times New Roman" w:eastAsia="Times New Roman" w:hAnsi="Times New Roman" w:cs="Times New Roman"/>
          <w:sz w:val="24"/>
          <w:szCs w:val="24"/>
        </w:rPr>
        <w:t xml:space="preserve">rship in international development and foreign affairs. As China strives to attain success in both aspects, the lack of clear priorities often lead to inefficiencies that are detrimental on both ends of political credibility and economic profitability. </w:t>
      </w:r>
    </w:p>
    <w:p w14:paraId="00000022" w14:textId="77777777" w:rsidR="00511B64" w:rsidRDefault="00511B64">
      <w:pPr>
        <w:spacing w:before="240" w:after="240" w:line="480" w:lineRule="auto"/>
        <w:ind w:firstLine="720"/>
        <w:rPr>
          <w:rFonts w:ascii="Times New Roman" w:eastAsia="Times New Roman" w:hAnsi="Times New Roman" w:cs="Times New Roman"/>
          <w:sz w:val="24"/>
          <w:szCs w:val="24"/>
        </w:rPr>
      </w:pPr>
    </w:p>
    <w:p w14:paraId="0000002E" w14:textId="77777777" w:rsidR="00511B64" w:rsidRDefault="00511B64" w:rsidP="009565EB">
      <w:pPr>
        <w:spacing w:before="240" w:after="240" w:line="480" w:lineRule="auto"/>
        <w:rPr>
          <w:rFonts w:ascii="Times New Roman" w:eastAsia="Times New Roman" w:hAnsi="Times New Roman" w:cs="Times New Roman"/>
          <w:sz w:val="24"/>
          <w:szCs w:val="24"/>
        </w:rPr>
      </w:pPr>
    </w:p>
    <w:p w14:paraId="0000002F" w14:textId="77777777" w:rsidR="00511B64" w:rsidRDefault="00DB11B3">
      <w:pPr>
        <w:spacing w:before="240" w:after="240" w:line="324" w:lineRule="auto"/>
        <w:ind w:left="880" w:hanging="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30"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“2007 Annual Financial Report.” Piraeus Port Authority, 2007. </w:t>
      </w:r>
    </w:p>
    <w:p w14:paraId="00000031"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“2016 Annual Financial Report.” Piraeus Port Authority, 2016.</w:t>
      </w:r>
    </w:p>
    <w:p w14:paraId="00000032"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“2019 Annual Financial Report.” Piraeus Port Authority, 2019.</w:t>
      </w:r>
    </w:p>
    <w:p w14:paraId="00000033"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Abi-Habib, Maria. “How China Got Sri Lanka to Cough Up a Port.” </w:t>
      </w:r>
      <w:r>
        <w:rPr>
          <w:rFonts w:ascii="Times New Roman" w:eastAsia="Times New Roman" w:hAnsi="Times New Roman" w:cs="Times New Roman"/>
          <w:i/>
          <w:sz w:val="24"/>
          <w:szCs w:val="24"/>
        </w:rPr>
        <w:t>New York Times</w:t>
      </w:r>
      <w:r>
        <w:rPr>
          <w:rFonts w:ascii="Times New Roman" w:eastAsia="Times New Roman" w:hAnsi="Times New Roman" w:cs="Times New Roman"/>
          <w:sz w:val="24"/>
          <w:szCs w:val="24"/>
        </w:rPr>
        <w:t xml:space="preserve">, 2018. </w:t>
      </w:r>
      <w:hyperlink r:id="rId7">
        <w:r>
          <w:rPr>
            <w:rFonts w:ascii="Times New Roman" w:eastAsia="Times New Roman" w:hAnsi="Times New Roman" w:cs="Times New Roman"/>
            <w:color w:val="1155CC"/>
            <w:sz w:val="24"/>
            <w:szCs w:val="24"/>
            <w:u w:val="single"/>
          </w:rPr>
          <w:t>https://www.nytim</w:t>
        </w:r>
        <w:r>
          <w:rPr>
            <w:rFonts w:ascii="Times New Roman" w:eastAsia="Times New Roman" w:hAnsi="Times New Roman" w:cs="Times New Roman"/>
            <w:color w:val="1155CC"/>
            <w:sz w:val="24"/>
            <w:szCs w:val="24"/>
            <w:u w:val="single"/>
          </w:rPr>
          <w:t>es.com/2018/06/25/world/asia/china-sri-lanka-port.html</w:t>
        </w:r>
      </w:hyperlink>
      <w:r>
        <w:rPr>
          <w:rFonts w:ascii="Times New Roman" w:eastAsia="Times New Roman" w:hAnsi="Times New Roman" w:cs="Times New Roman"/>
          <w:sz w:val="24"/>
          <w:szCs w:val="24"/>
        </w:rPr>
        <w:t>.</w:t>
      </w:r>
    </w:p>
    <w:p w14:paraId="00000034"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Bondaz, Antoine, David Cohen, François Godement, Agatha Kratz, and Raffaello Pantucci. “‘One Belt, One Road:’ China’s Great Leap Outward.” </w:t>
      </w:r>
      <w:r>
        <w:rPr>
          <w:rFonts w:ascii="Times New Roman" w:eastAsia="Times New Roman" w:hAnsi="Times New Roman" w:cs="Times New Roman"/>
          <w:i/>
          <w:sz w:val="24"/>
          <w:szCs w:val="24"/>
        </w:rPr>
        <w:t>European Council on Foreign Relations</w:t>
      </w:r>
      <w:r>
        <w:rPr>
          <w:rFonts w:ascii="Times New Roman" w:eastAsia="Times New Roman" w:hAnsi="Times New Roman" w:cs="Times New Roman"/>
          <w:sz w:val="24"/>
          <w:szCs w:val="24"/>
        </w:rPr>
        <w:t>, 2015.</w:t>
      </w:r>
    </w:p>
    <w:p w14:paraId="00000035"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DeLuca, Dan. </w:t>
      </w:r>
      <w:r>
        <w:rPr>
          <w:rFonts w:ascii="Times New Roman" w:eastAsia="Times New Roman" w:hAnsi="Times New Roman" w:cs="Times New Roman"/>
          <w:i/>
          <w:sz w:val="24"/>
          <w:szCs w:val="24"/>
        </w:rPr>
        <w:t>Cov</w:t>
      </w:r>
      <w:r>
        <w:rPr>
          <w:rFonts w:ascii="Times New Roman" w:eastAsia="Times New Roman" w:hAnsi="Times New Roman" w:cs="Times New Roman"/>
          <w:i/>
          <w:sz w:val="24"/>
          <w:szCs w:val="24"/>
        </w:rPr>
        <w:t>ering Globalization</w:t>
      </w:r>
      <w:r>
        <w:rPr>
          <w:rFonts w:ascii="Times New Roman" w:eastAsia="Times New Roman" w:hAnsi="Times New Roman" w:cs="Times New Roman"/>
          <w:sz w:val="24"/>
          <w:szCs w:val="24"/>
        </w:rPr>
        <w:t>. Columbia University Press, 2004.</w:t>
      </w:r>
    </w:p>
    <w:p w14:paraId="00000036"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 Wang. “A Long Voyage to Success: China’s Investment in Hambantota Port Faces Several Challenges.” CGTN, 2019. </w:t>
      </w:r>
      <w:hyperlink r:id="rId8">
        <w:r>
          <w:rPr>
            <w:rFonts w:ascii="Times New Roman" w:eastAsia="Times New Roman" w:hAnsi="Times New Roman" w:cs="Times New Roman"/>
            <w:color w:val="1155CC"/>
            <w:sz w:val="24"/>
            <w:szCs w:val="24"/>
            <w:u w:val="single"/>
          </w:rPr>
          <w:t>https://news.cgtn.com/news/3d3d514e7945444d32457a6333566d54/share_p.html</w:t>
        </w:r>
      </w:hyperlink>
      <w:r>
        <w:rPr>
          <w:rFonts w:ascii="Times New Roman" w:eastAsia="Times New Roman" w:hAnsi="Times New Roman" w:cs="Times New Roman"/>
          <w:sz w:val="24"/>
          <w:szCs w:val="24"/>
        </w:rPr>
        <w:t>.</w:t>
      </w:r>
    </w:p>
    <w:p w14:paraId="00000037"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Hillman, Jonathan. “Game of Loans: How China Bought Hambantota.” Center for Strategic and International Studies, 2018.</w:t>
      </w:r>
    </w:p>
    <w:p w14:paraId="00000038"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Huang, Betty, Alvaro Ortiz, Tomasa Rodrigo, and Li Xia. “FIve Facts About Outward Direct Investment and Their Implication for Future Trend.” China Economic Watch. Hong Kong, China: BBVA Research, 2019.</w:t>
      </w:r>
    </w:p>
    <w:p w14:paraId="00000039"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Hurley, John, Scott Morris, and Gailyn Portelance. “Ex</w:t>
      </w:r>
      <w:r>
        <w:rPr>
          <w:rFonts w:ascii="Times New Roman" w:eastAsia="Times New Roman" w:hAnsi="Times New Roman" w:cs="Times New Roman"/>
          <w:sz w:val="24"/>
          <w:szCs w:val="24"/>
        </w:rPr>
        <w:t>amining the Debt Implications of the Belt and Road Initiative from a Policy Perspective.” Washington D.C.: Center for Global Development, 2018.</w:t>
      </w:r>
    </w:p>
    <w:p w14:paraId="0000003A"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Jinping, Xi. “Promote People-to-People Friendship and Create a Better Future.” Nazarbayev University, Kazakhstan</w:t>
      </w:r>
      <w:r>
        <w:rPr>
          <w:rFonts w:ascii="Times New Roman" w:eastAsia="Times New Roman" w:hAnsi="Times New Roman" w:cs="Times New Roman"/>
          <w:sz w:val="24"/>
          <w:szCs w:val="24"/>
        </w:rPr>
        <w:t>, 2013.</w:t>
      </w:r>
    </w:p>
    <w:p w14:paraId="0000003B"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Johnson, Christopher. “President Xi Jinping’s ‘Belt and Road’ Initiative: A Practical Assessment of the Chinese Communist Party’s Roadmap for China’s Global Resurgence.” CSIS Freeman Chair in China Studies. Center for Strategic &amp; International Stud</w:t>
      </w:r>
      <w:r>
        <w:rPr>
          <w:rFonts w:ascii="Times New Roman" w:eastAsia="Times New Roman" w:hAnsi="Times New Roman" w:cs="Times New Roman"/>
          <w:sz w:val="24"/>
          <w:szCs w:val="24"/>
        </w:rPr>
        <w:t>ies, 2016.</w:t>
      </w:r>
    </w:p>
    <w:p w14:paraId="0000003C"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Jun, Zhu, Guo Kai, Ai Ming, Bai Xuefei, and Zhao Yue. </w:t>
      </w:r>
      <w:r>
        <w:rPr>
          <w:rFonts w:ascii="Times New Roman" w:eastAsia="Times New Roman" w:hAnsi="Times New Roman" w:cs="Times New Roman"/>
          <w:i/>
          <w:sz w:val="24"/>
          <w:szCs w:val="24"/>
        </w:rPr>
        <w:t>The Jingshan Report</w:t>
      </w:r>
      <w:r>
        <w:rPr>
          <w:rFonts w:ascii="Times New Roman" w:eastAsia="Times New Roman" w:hAnsi="Times New Roman" w:cs="Times New Roman"/>
          <w:sz w:val="24"/>
          <w:szCs w:val="24"/>
        </w:rPr>
        <w:t>. ANU Press, 2020.</w:t>
      </w:r>
    </w:p>
    <w:p w14:paraId="0000003D"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Kin-Chung, Lam, Cai Chimeng, Dai Jinping, and Li Xiaohui. </w:t>
      </w:r>
      <w:r>
        <w:rPr>
          <w:rFonts w:ascii="Times New Roman" w:eastAsia="Times New Roman" w:hAnsi="Times New Roman" w:cs="Times New Roman"/>
          <w:i/>
          <w:sz w:val="24"/>
          <w:szCs w:val="24"/>
        </w:rPr>
        <w:t>Hong Kong in the Belt and Road Initiative</w:t>
      </w:r>
      <w:r>
        <w:rPr>
          <w:rFonts w:ascii="Times New Roman" w:eastAsia="Times New Roman" w:hAnsi="Times New Roman" w:cs="Times New Roman"/>
          <w:sz w:val="24"/>
          <w:szCs w:val="24"/>
        </w:rPr>
        <w:t>. Chinese University Press, 2020.</w:t>
      </w:r>
    </w:p>
    <w:p w14:paraId="0000003E"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 Yuan. </w:t>
      </w:r>
      <w:r>
        <w:rPr>
          <w:rFonts w:ascii="Times New Roman" w:eastAsia="Times New Roman" w:hAnsi="Times New Roman" w:cs="Times New Roman"/>
          <w:i/>
          <w:sz w:val="24"/>
          <w:szCs w:val="24"/>
        </w:rPr>
        <w:t>How China’</w:t>
      </w:r>
      <w:r>
        <w:rPr>
          <w:rFonts w:ascii="Times New Roman" w:eastAsia="Times New Roman" w:hAnsi="Times New Roman" w:cs="Times New Roman"/>
          <w:i/>
          <w:sz w:val="24"/>
          <w:szCs w:val="24"/>
        </w:rPr>
        <w:t>s Silk Road Initiative Is Changing the Global Economic Landscape</w:t>
      </w:r>
      <w:r>
        <w:rPr>
          <w:rFonts w:ascii="Times New Roman" w:eastAsia="Times New Roman" w:hAnsi="Times New Roman" w:cs="Times New Roman"/>
          <w:sz w:val="24"/>
          <w:szCs w:val="24"/>
        </w:rPr>
        <w:t>. Routledge Studies in the Growth Economies of Asia. Routledge, 2019.</w:t>
      </w:r>
    </w:p>
    <w:p w14:paraId="0000003F"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Luo, Yadong, and Rosalie Tung. </w:t>
      </w:r>
      <w:r>
        <w:rPr>
          <w:rFonts w:ascii="Times New Roman" w:eastAsia="Times New Roman" w:hAnsi="Times New Roman" w:cs="Times New Roman"/>
          <w:i/>
          <w:sz w:val="24"/>
          <w:szCs w:val="24"/>
        </w:rPr>
        <w:t>International Expansion of Emerging Market Enterprises: A Springboard Perspective</w:t>
      </w:r>
      <w:r>
        <w:rPr>
          <w:rFonts w:ascii="Times New Roman" w:eastAsia="Times New Roman" w:hAnsi="Times New Roman" w:cs="Times New Roman"/>
          <w:sz w:val="24"/>
          <w:szCs w:val="24"/>
        </w:rPr>
        <w:t>. Vol. 38.</w:t>
      </w:r>
      <w:r>
        <w:rPr>
          <w:rFonts w:ascii="Times New Roman" w:eastAsia="Times New Roman" w:hAnsi="Times New Roman" w:cs="Times New Roman"/>
          <w:sz w:val="24"/>
          <w:szCs w:val="24"/>
        </w:rPr>
        <w:t xml:space="preserve"> Journal of International Business Studies 4. Palgrave Macmillan Journals on behalf of Academy of International Business, 2007.</w:t>
      </w:r>
    </w:p>
    <w:p w14:paraId="00000040"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 Wang. </w:t>
      </w:r>
      <w:r>
        <w:rPr>
          <w:rFonts w:ascii="Times New Roman" w:eastAsia="Times New Roman" w:hAnsi="Times New Roman" w:cs="Times New Roman"/>
          <w:i/>
          <w:sz w:val="24"/>
          <w:szCs w:val="24"/>
        </w:rPr>
        <w:t>China’s Domestic Transformation in a Global Context</w:t>
      </w:r>
      <w:r>
        <w:rPr>
          <w:rFonts w:ascii="Times New Roman" w:eastAsia="Times New Roman" w:hAnsi="Times New Roman" w:cs="Times New Roman"/>
          <w:sz w:val="24"/>
          <w:szCs w:val="24"/>
        </w:rPr>
        <w:t>. ANU Press, 2015.</w:t>
      </w:r>
    </w:p>
    <w:p w14:paraId="00000041"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Miller, Tom. </w:t>
      </w:r>
      <w:r>
        <w:rPr>
          <w:rFonts w:ascii="Times New Roman" w:eastAsia="Times New Roman" w:hAnsi="Times New Roman" w:cs="Times New Roman"/>
          <w:i/>
          <w:sz w:val="24"/>
          <w:szCs w:val="24"/>
        </w:rPr>
        <w:t>To Get Rich Is Glorious: Challenge</w:t>
      </w:r>
      <w:r>
        <w:rPr>
          <w:rFonts w:ascii="Times New Roman" w:eastAsia="Times New Roman" w:hAnsi="Times New Roman" w:cs="Times New Roman"/>
          <w:i/>
          <w:sz w:val="24"/>
          <w:szCs w:val="24"/>
        </w:rPr>
        <w:t>s Facing China’s Economic Reform</w:t>
      </w:r>
      <w:r>
        <w:rPr>
          <w:rFonts w:ascii="Times New Roman" w:eastAsia="Times New Roman" w:hAnsi="Times New Roman" w:cs="Times New Roman"/>
          <w:sz w:val="24"/>
          <w:szCs w:val="24"/>
        </w:rPr>
        <w:t>. Brookings Institution Press, 2019.</w:t>
      </w:r>
    </w:p>
    <w:p w14:paraId="00000042"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Moramudali, Umesh. “The Hambantota Port Deal: Myths and Realities.” The Diplomat, 2020. </w:t>
      </w:r>
      <w:hyperlink r:id="rId9">
        <w:r>
          <w:rPr>
            <w:rFonts w:ascii="Times New Roman" w:eastAsia="Times New Roman" w:hAnsi="Times New Roman" w:cs="Times New Roman"/>
            <w:color w:val="1155CC"/>
            <w:sz w:val="24"/>
            <w:szCs w:val="24"/>
            <w:u w:val="single"/>
          </w:rPr>
          <w:t>ht</w:t>
        </w:r>
        <w:r>
          <w:rPr>
            <w:rFonts w:ascii="Times New Roman" w:eastAsia="Times New Roman" w:hAnsi="Times New Roman" w:cs="Times New Roman"/>
            <w:color w:val="1155CC"/>
            <w:sz w:val="24"/>
            <w:szCs w:val="24"/>
            <w:u w:val="single"/>
          </w:rPr>
          <w:t>tps://thediplomat.com/2020/01/the-hambantota-port-deal-myths-and-realities/</w:t>
        </w:r>
      </w:hyperlink>
      <w:r>
        <w:rPr>
          <w:rFonts w:ascii="Times New Roman" w:eastAsia="Times New Roman" w:hAnsi="Times New Roman" w:cs="Times New Roman"/>
          <w:sz w:val="24"/>
          <w:szCs w:val="24"/>
        </w:rPr>
        <w:t>.</w:t>
      </w:r>
    </w:p>
    <w:p w14:paraId="00000043"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Naughton, Barry. “Deng Xiaoping: The Economist.” </w:t>
      </w:r>
      <w:r>
        <w:rPr>
          <w:rFonts w:ascii="Times New Roman" w:eastAsia="Times New Roman" w:hAnsi="Times New Roman" w:cs="Times New Roman"/>
          <w:i/>
          <w:sz w:val="24"/>
          <w:szCs w:val="24"/>
        </w:rPr>
        <w:t>Cambridge University Press</w:t>
      </w:r>
      <w:r>
        <w:rPr>
          <w:rFonts w:ascii="Times New Roman" w:eastAsia="Times New Roman" w:hAnsi="Times New Roman" w:cs="Times New Roman"/>
          <w:sz w:val="24"/>
          <w:szCs w:val="24"/>
        </w:rPr>
        <w:t>, 1993, 491–514.</w:t>
      </w:r>
    </w:p>
    <w:p w14:paraId="00000044"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Putten, Frans-Paul van der. “Chinese Investment in the Port of Piraeus, Greece: The Rel</w:t>
      </w:r>
      <w:r>
        <w:rPr>
          <w:rFonts w:ascii="Times New Roman" w:eastAsia="Times New Roman" w:hAnsi="Times New Roman" w:cs="Times New Roman"/>
          <w:sz w:val="24"/>
          <w:szCs w:val="24"/>
        </w:rPr>
        <w:t>evance for the EU and the Netherlands.” Clingendael Netherlands Institute of International Relations, 2014.</w:t>
      </w:r>
    </w:p>
    <w:p w14:paraId="00000045"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Segal, Troy. “Greenfield vs. Brownfield Investments: What’s the Difference?” Investopedia, 2019. </w:t>
      </w:r>
      <w:hyperlink r:id="rId10">
        <w:r>
          <w:rPr>
            <w:rFonts w:ascii="Times New Roman" w:eastAsia="Times New Roman" w:hAnsi="Times New Roman" w:cs="Times New Roman"/>
            <w:color w:val="1155CC"/>
            <w:sz w:val="24"/>
            <w:szCs w:val="24"/>
            <w:u w:val="single"/>
          </w:rPr>
          <w:t>https://www.investopedia.com/ask/answers/043015/what-difference-between-green-field-and-brown-field-investment.asp</w:t>
        </w:r>
      </w:hyperlink>
      <w:r>
        <w:rPr>
          <w:rFonts w:ascii="Times New Roman" w:eastAsia="Times New Roman" w:hAnsi="Times New Roman" w:cs="Times New Roman"/>
          <w:sz w:val="24"/>
          <w:szCs w:val="24"/>
        </w:rPr>
        <w:t>.</w:t>
      </w:r>
    </w:p>
    <w:p w14:paraId="00000046"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Tonchev, Plamen. “Along the Road: Sri Lanka’s Tale of Two</w:t>
      </w:r>
      <w:r>
        <w:rPr>
          <w:rFonts w:ascii="Times New Roman" w:eastAsia="Times New Roman" w:hAnsi="Times New Roman" w:cs="Times New Roman"/>
          <w:sz w:val="24"/>
          <w:szCs w:val="24"/>
        </w:rPr>
        <w:t xml:space="preserve"> Ports.” European Union Institute for Security Studies, 2018.</w:t>
      </w:r>
    </w:p>
    <w:p w14:paraId="00000047"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Tzogopoulos, George. “Greece, Israel, and China’s ‘Belt and Road’ Initiative.” Begin-Sadat Center for Strategic Studies, 2017.</w:t>
      </w:r>
    </w:p>
    <w:p w14:paraId="00000048"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Wang, Bijun, and Kailin Gao. </w:t>
      </w:r>
      <w:r>
        <w:rPr>
          <w:rFonts w:ascii="Times New Roman" w:eastAsia="Times New Roman" w:hAnsi="Times New Roman" w:cs="Times New Roman"/>
          <w:i/>
          <w:sz w:val="24"/>
          <w:szCs w:val="24"/>
        </w:rPr>
        <w:t>China’s 40 Years of Reform and Develop</w:t>
      </w:r>
      <w:r>
        <w:rPr>
          <w:rFonts w:ascii="Times New Roman" w:eastAsia="Times New Roman" w:hAnsi="Times New Roman" w:cs="Times New Roman"/>
          <w:i/>
          <w:sz w:val="24"/>
          <w:szCs w:val="24"/>
        </w:rPr>
        <w:t>ment</w:t>
      </w:r>
      <w:r>
        <w:rPr>
          <w:rFonts w:ascii="Times New Roman" w:eastAsia="Times New Roman" w:hAnsi="Times New Roman" w:cs="Times New Roman"/>
          <w:sz w:val="24"/>
          <w:szCs w:val="24"/>
        </w:rPr>
        <w:t>. ANU Press, 2018.</w:t>
      </w:r>
    </w:p>
    <w:p w14:paraId="00000049" w14:textId="77777777" w:rsidR="00511B64" w:rsidRDefault="00DB11B3">
      <w:pPr>
        <w:spacing w:before="240" w:after="240" w:line="324" w:lineRule="auto"/>
        <w:ind w:left="88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Xiao, Wen, and Liyun Liu. </w:t>
      </w:r>
      <w:r>
        <w:rPr>
          <w:rFonts w:ascii="Times New Roman" w:eastAsia="Times New Roman" w:hAnsi="Times New Roman" w:cs="Times New Roman"/>
          <w:i/>
          <w:sz w:val="24"/>
          <w:szCs w:val="24"/>
        </w:rPr>
        <w:t>Internationalization of China’s Privately Owned Enterprises</w:t>
      </w:r>
      <w:r>
        <w:rPr>
          <w:rFonts w:ascii="Times New Roman" w:eastAsia="Times New Roman" w:hAnsi="Times New Roman" w:cs="Times New Roman"/>
          <w:sz w:val="24"/>
          <w:szCs w:val="24"/>
        </w:rPr>
        <w:t>. WSPC, 2015.</w:t>
      </w:r>
    </w:p>
    <w:p w14:paraId="0000004A" w14:textId="77777777" w:rsidR="00511B64" w:rsidRDefault="00511B64">
      <w:pPr>
        <w:spacing w:before="240" w:after="240" w:line="480" w:lineRule="auto"/>
        <w:ind w:firstLine="720"/>
        <w:rPr>
          <w:rFonts w:ascii="Times New Roman" w:eastAsia="Times New Roman" w:hAnsi="Times New Roman" w:cs="Times New Roman"/>
          <w:sz w:val="24"/>
          <w:szCs w:val="24"/>
        </w:rPr>
      </w:pPr>
    </w:p>
    <w:p w14:paraId="0000004B" w14:textId="77777777" w:rsidR="00511B64" w:rsidRDefault="00511B64">
      <w:pPr>
        <w:spacing w:before="240" w:after="240" w:line="480" w:lineRule="auto"/>
        <w:rPr>
          <w:rFonts w:ascii="Times New Roman" w:eastAsia="Times New Roman" w:hAnsi="Times New Roman" w:cs="Times New Roman"/>
          <w:b/>
          <w:sz w:val="24"/>
          <w:szCs w:val="24"/>
        </w:rPr>
      </w:pPr>
    </w:p>
    <w:p w14:paraId="0000004C" w14:textId="77777777" w:rsidR="00511B64" w:rsidRDefault="00511B64">
      <w:pPr>
        <w:spacing w:line="480" w:lineRule="auto"/>
        <w:rPr>
          <w:rFonts w:ascii="Times New Roman" w:eastAsia="Times New Roman" w:hAnsi="Times New Roman" w:cs="Times New Roman"/>
          <w:sz w:val="24"/>
          <w:szCs w:val="24"/>
        </w:rPr>
      </w:pPr>
    </w:p>
    <w:sectPr w:rsidR="00511B6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ED41" w14:textId="77777777" w:rsidR="00DB11B3" w:rsidRDefault="00DB11B3">
      <w:pPr>
        <w:spacing w:line="240" w:lineRule="auto"/>
      </w:pPr>
      <w:r>
        <w:separator/>
      </w:r>
    </w:p>
  </w:endnote>
  <w:endnote w:type="continuationSeparator" w:id="0">
    <w:p w14:paraId="39F9D81E" w14:textId="77777777" w:rsidR="00DB11B3" w:rsidRDefault="00DB1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1938" w14:textId="77777777" w:rsidR="009565EB" w:rsidRDefault="00956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1" w14:textId="77777777" w:rsidR="00511B64" w:rsidRDefault="00511B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840D" w14:textId="77777777" w:rsidR="009565EB" w:rsidRDefault="00956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2759F" w14:textId="77777777" w:rsidR="00DB11B3" w:rsidRDefault="00DB11B3">
      <w:pPr>
        <w:spacing w:line="240" w:lineRule="auto"/>
      </w:pPr>
      <w:r>
        <w:separator/>
      </w:r>
    </w:p>
  </w:footnote>
  <w:footnote w:type="continuationSeparator" w:id="0">
    <w:p w14:paraId="6FA2DEEC" w14:textId="77777777" w:rsidR="00DB11B3" w:rsidRDefault="00DB11B3">
      <w:pPr>
        <w:spacing w:line="240" w:lineRule="auto"/>
      </w:pPr>
      <w:r>
        <w:continuationSeparator/>
      </w:r>
    </w:p>
  </w:footnote>
  <w:footnote w:id="1">
    <w:p w14:paraId="0000004D" w14:textId="77777777" w:rsidR="00511B64" w:rsidRDefault="00DB11B3">
      <w:pPr>
        <w:spacing w:line="240" w:lineRule="auto"/>
        <w:rPr>
          <w:sz w:val="20"/>
          <w:szCs w:val="20"/>
        </w:rPr>
      </w:pPr>
      <w:r>
        <w:rPr>
          <w:vertAlign w:val="superscript"/>
        </w:rPr>
        <w:footnoteRef/>
      </w:r>
      <w:r>
        <w:rPr>
          <w:sz w:val="20"/>
          <w:szCs w:val="20"/>
        </w:rPr>
        <w:t xml:space="preserve"> Naughton, “Deng Xiaoping: The Economist.”</w:t>
      </w:r>
    </w:p>
  </w:footnote>
  <w:footnote w:id="2">
    <w:p w14:paraId="0000007C" w14:textId="77777777" w:rsidR="00511B64" w:rsidRDefault="00DB11B3">
      <w:pPr>
        <w:spacing w:line="240" w:lineRule="auto"/>
        <w:rPr>
          <w:sz w:val="20"/>
          <w:szCs w:val="20"/>
        </w:rPr>
      </w:pPr>
      <w:r>
        <w:rPr>
          <w:vertAlign w:val="superscript"/>
        </w:rPr>
        <w:footnoteRef/>
      </w:r>
      <w:r>
        <w:rPr>
          <w:sz w:val="20"/>
          <w:szCs w:val="20"/>
        </w:rPr>
        <w:t xml:space="preserve"> DeLuca, </w:t>
      </w:r>
      <w:r>
        <w:rPr>
          <w:i/>
          <w:sz w:val="20"/>
          <w:szCs w:val="20"/>
        </w:rPr>
        <w:t xml:space="preserve">Covering Globalization. </w:t>
      </w:r>
    </w:p>
  </w:footnote>
  <w:footnote w:id="3">
    <w:p w14:paraId="0000004E" w14:textId="77777777" w:rsidR="00511B64" w:rsidRDefault="00DB11B3">
      <w:pPr>
        <w:spacing w:line="240" w:lineRule="auto"/>
        <w:rPr>
          <w:sz w:val="20"/>
          <w:szCs w:val="20"/>
        </w:rPr>
      </w:pPr>
      <w:r>
        <w:rPr>
          <w:vertAlign w:val="superscript"/>
        </w:rPr>
        <w:footnoteRef/>
      </w:r>
      <w:r>
        <w:rPr>
          <w:sz w:val="20"/>
          <w:szCs w:val="20"/>
        </w:rPr>
        <w:t xml:space="preserve"> Miller, </w:t>
      </w:r>
      <w:r>
        <w:rPr>
          <w:i/>
          <w:sz w:val="20"/>
          <w:szCs w:val="20"/>
        </w:rPr>
        <w:t>To Get Rich Is Glorious: Challenges Facing China’s Economic Reform</w:t>
      </w:r>
      <w:r>
        <w:rPr>
          <w:sz w:val="20"/>
          <w:szCs w:val="20"/>
        </w:rPr>
        <w:t xml:space="preserve">, 230. </w:t>
      </w:r>
    </w:p>
  </w:footnote>
  <w:footnote w:id="4">
    <w:p w14:paraId="0000004F" w14:textId="77777777" w:rsidR="00511B64" w:rsidRDefault="00DB11B3">
      <w:pPr>
        <w:spacing w:line="240" w:lineRule="auto"/>
        <w:rPr>
          <w:sz w:val="20"/>
          <w:szCs w:val="20"/>
        </w:rPr>
      </w:pPr>
      <w:r>
        <w:rPr>
          <w:vertAlign w:val="superscript"/>
        </w:rPr>
        <w:footnoteRef/>
      </w:r>
      <w:r>
        <w:rPr>
          <w:sz w:val="20"/>
          <w:szCs w:val="20"/>
        </w:rPr>
        <w:t xml:space="preserve"> </w:t>
      </w:r>
      <w:r>
        <w:rPr>
          <w:i/>
          <w:sz w:val="20"/>
          <w:szCs w:val="20"/>
        </w:rPr>
        <w:t xml:space="preserve">(Ibid, 233). </w:t>
      </w:r>
    </w:p>
  </w:footnote>
  <w:footnote w:id="5">
    <w:p w14:paraId="00000050" w14:textId="77777777" w:rsidR="00511B64" w:rsidRDefault="00DB11B3">
      <w:pPr>
        <w:spacing w:line="240" w:lineRule="auto"/>
        <w:rPr>
          <w:sz w:val="20"/>
          <w:szCs w:val="20"/>
        </w:rPr>
      </w:pPr>
      <w:r>
        <w:rPr>
          <w:vertAlign w:val="superscript"/>
        </w:rPr>
        <w:footnoteRef/>
      </w:r>
      <w:r>
        <w:rPr>
          <w:sz w:val="20"/>
          <w:szCs w:val="20"/>
        </w:rPr>
        <w:t xml:space="preserve"> Mei, </w:t>
      </w:r>
      <w:r>
        <w:rPr>
          <w:i/>
          <w:sz w:val="20"/>
          <w:szCs w:val="20"/>
        </w:rPr>
        <w:t>China’s Domestic Transformation in a Global Context</w:t>
      </w:r>
      <w:r>
        <w:rPr>
          <w:sz w:val="20"/>
          <w:szCs w:val="20"/>
        </w:rPr>
        <w:t>.</w:t>
      </w:r>
    </w:p>
  </w:footnote>
  <w:footnote w:id="6">
    <w:p w14:paraId="00000051" w14:textId="77777777" w:rsidR="00511B64" w:rsidRDefault="00DB11B3">
      <w:pPr>
        <w:spacing w:line="240" w:lineRule="auto"/>
        <w:rPr>
          <w:sz w:val="20"/>
          <w:szCs w:val="20"/>
        </w:rPr>
      </w:pPr>
      <w:r>
        <w:rPr>
          <w:vertAlign w:val="superscript"/>
        </w:rPr>
        <w:footnoteRef/>
      </w:r>
      <w:r>
        <w:rPr>
          <w:sz w:val="20"/>
          <w:szCs w:val="20"/>
        </w:rPr>
        <w:t xml:space="preserve"> Wang and Gao, </w:t>
      </w:r>
      <w:r>
        <w:rPr>
          <w:i/>
          <w:sz w:val="20"/>
          <w:szCs w:val="20"/>
        </w:rPr>
        <w:t>China’s 40 Years of Reform and Development</w:t>
      </w:r>
      <w:r>
        <w:rPr>
          <w:sz w:val="20"/>
          <w:szCs w:val="20"/>
        </w:rPr>
        <w:t>, 623.</w:t>
      </w:r>
    </w:p>
  </w:footnote>
  <w:footnote w:id="7">
    <w:p w14:paraId="0000005B" w14:textId="77777777" w:rsidR="00511B64" w:rsidRDefault="00DB11B3">
      <w:pPr>
        <w:spacing w:line="240" w:lineRule="auto"/>
        <w:rPr>
          <w:sz w:val="20"/>
          <w:szCs w:val="20"/>
        </w:rPr>
      </w:pPr>
      <w:r>
        <w:rPr>
          <w:vertAlign w:val="superscript"/>
        </w:rPr>
        <w:footnoteRef/>
      </w:r>
      <w:r>
        <w:rPr>
          <w:sz w:val="20"/>
          <w:szCs w:val="20"/>
        </w:rPr>
        <w:t xml:space="preserve"> van der Putten, “Chinese Investment in the Port of Piraeus, Greece: The Relevance for the EU and the Netherlands,” 22. </w:t>
      </w:r>
    </w:p>
  </w:footnote>
  <w:footnote w:id="8">
    <w:p w14:paraId="00000052" w14:textId="77777777" w:rsidR="00511B64" w:rsidRDefault="00DB11B3">
      <w:pPr>
        <w:spacing w:line="240" w:lineRule="auto"/>
        <w:rPr>
          <w:sz w:val="20"/>
          <w:szCs w:val="20"/>
        </w:rPr>
      </w:pPr>
      <w:r>
        <w:rPr>
          <w:vertAlign w:val="superscript"/>
        </w:rPr>
        <w:footnoteRef/>
      </w:r>
      <w:r>
        <w:rPr>
          <w:sz w:val="20"/>
          <w:szCs w:val="20"/>
        </w:rPr>
        <w:t xml:space="preserve">  </w:t>
      </w:r>
      <w:r>
        <w:rPr>
          <w:i/>
          <w:sz w:val="20"/>
          <w:szCs w:val="20"/>
        </w:rPr>
        <w:t xml:space="preserve">(Ibid, 624). </w:t>
      </w:r>
    </w:p>
  </w:footnote>
  <w:footnote w:id="9">
    <w:p w14:paraId="00000062" w14:textId="77777777" w:rsidR="00511B64" w:rsidRDefault="00DB11B3">
      <w:pPr>
        <w:spacing w:line="240" w:lineRule="auto"/>
        <w:rPr>
          <w:sz w:val="20"/>
          <w:szCs w:val="20"/>
        </w:rPr>
      </w:pPr>
      <w:r>
        <w:rPr>
          <w:vertAlign w:val="superscript"/>
        </w:rPr>
        <w:footnoteRef/>
      </w:r>
      <w:r>
        <w:rPr>
          <w:sz w:val="20"/>
          <w:szCs w:val="20"/>
        </w:rPr>
        <w:t xml:space="preserve">  Johnson, “President Xi Jinping’s ‘Belt and Road’ Initiative: A Practical Assessment of the Chinese Communist Party’s Roadmap for China’s Global Resurgence,” 21. </w:t>
      </w:r>
    </w:p>
  </w:footnote>
  <w:footnote w:id="10">
    <w:p w14:paraId="0000005D" w14:textId="77777777" w:rsidR="00511B64" w:rsidRDefault="00DB11B3">
      <w:pPr>
        <w:spacing w:line="240" w:lineRule="auto"/>
        <w:rPr>
          <w:sz w:val="20"/>
          <w:szCs w:val="20"/>
        </w:rPr>
      </w:pPr>
      <w:r>
        <w:rPr>
          <w:vertAlign w:val="superscript"/>
        </w:rPr>
        <w:footnoteRef/>
      </w:r>
      <w:r>
        <w:rPr>
          <w:sz w:val="20"/>
          <w:szCs w:val="20"/>
        </w:rPr>
        <w:t xml:space="preserve"> </w:t>
      </w:r>
      <w:r>
        <w:rPr>
          <w:i/>
          <w:sz w:val="20"/>
          <w:szCs w:val="20"/>
        </w:rPr>
        <w:t xml:space="preserve">(Ibid, 21). </w:t>
      </w:r>
      <w:r>
        <w:rPr>
          <w:sz w:val="20"/>
          <w:szCs w:val="20"/>
        </w:rPr>
        <w:t xml:space="preserve"> </w:t>
      </w:r>
    </w:p>
  </w:footnote>
  <w:footnote w:id="11">
    <w:p w14:paraId="0000005E" w14:textId="77777777" w:rsidR="00511B64" w:rsidRDefault="00DB11B3">
      <w:pPr>
        <w:spacing w:line="240" w:lineRule="auto"/>
        <w:rPr>
          <w:sz w:val="20"/>
          <w:szCs w:val="20"/>
        </w:rPr>
      </w:pPr>
      <w:r>
        <w:rPr>
          <w:vertAlign w:val="superscript"/>
        </w:rPr>
        <w:footnoteRef/>
      </w:r>
      <w:r>
        <w:rPr>
          <w:sz w:val="20"/>
          <w:szCs w:val="20"/>
        </w:rPr>
        <w:t xml:space="preserve"> Wang and Gao, </w:t>
      </w:r>
      <w:r>
        <w:rPr>
          <w:i/>
          <w:sz w:val="20"/>
          <w:szCs w:val="20"/>
        </w:rPr>
        <w:t>China’s 40 Years of Reform and Development</w:t>
      </w:r>
      <w:r>
        <w:rPr>
          <w:sz w:val="20"/>
          <w:szCs w:val="20"/>
        </w:rPr>
        <w:t xml:space="preserve">, 629. </w:t>
      </w:r>
    </w:p>
  </w:footnote>
  <w:footnote w:id="12">
    <w:p w14:paraId="0000005F" w14:textId="77777777" w:rsidR="00511B64" w:rsidRDefault="00DB11B3">
      <w:pPr>
        <w:spacing w:line="240" w:lineRule="auto"/>
        <w:rPr>
          <w:sz w:val="20"/>
          <w:szCs w:val="20"/>
        </w:rPr>
      </w:pPr>
      <w:r>
        <w:rPr>
          <w:vertAlign w:val="superscript"/>
        </w:rPr>
        <w:footnoteRef/>
      </w:r>
      <w:r>
        <w:rPr>
          <w:sz w:val="20"/>
          <w:szCs w:val="20"/>
        </w:rPr>
        <w:t xml:space="preserve"> Huang et al., “FIve Facts About Outward Direct Investment and Their Implication for Future Trend,” 1. </w:t>
      </w:r>
    </w:p>
  </w:footnote>
  <w:footnote w:id="13">
    <w:p w14:paraId="00000060" w14:textId="77777777" w:rsidR="00511B64" w:rsidRDefault="00DB11B3">
      <w:pPr>
        <w:spacing w:line="240" w:lineRule="auto"/>
        <w:rPr>
          <w:sz w:val="20"/>
          <w:szCs w:val="20"/>
        </w:rPr>
      </w:pPr>
      <w:r>
        <w:rPr>
          <w:vertAlign w:val="superscript"/>
        </w:rPr>
        <w:footnoteRef/>
      </w:r>
      <w:r>
        <w:rPr>
          <w:sz w:val="20"/>
          <w:szCs w:val="20"/>
        </w:rPr>
        <w:t xml:space="preserve">  Miller, </w:t>
      </w:r>
      <w:r>
        <w:rPr>
          <w:i/>
          <w:sz w:val="20"/>
          <w:szCs w:val="20"/>
        </w:rPr>
        <w:t>To Get Rich Is Glorious: Challenges Facing China’s Economic Reform</w:t>
      </w:r>
      <w:r>
        <w:rPr>
          <w:sz w:val="20"/>
          <w:szCs w:val="20"/>
        </w:rPr>
        <w:t xml:space="preserve">, 240. </w:t>
      </w:r>
    </w:p>
  </w:footnote>
  <w:footnote w:id="14">
    <w:p w14:paraId="00000061" w14:textId="77777777" w:rsidR="00511B64" w:rsidRDefault="00DB11B3">
      <w:pPr>
        <w:spacing w:line="240" w:lineRule="auto"/>
        <w:rPr>
          <w:sz w:val="20"/>
          <w:szCs w:val="20"/>
        </w:rPr>
      </w:pPr>
      <w:r>
        <w:rPr>
          <w:vertAlign w:val="superscript"/>
        </w:rPr>
        <w:footnoteRef/>
      </w:r>
      <w:r>
        <w:rPr>
          <w:sz w:val="20"/>
          <w:szCs w:val="20"/>
        </w:rPr>
        <w:t xml:space="preserve"> Huang et al., “FIve Facts About Outward Direct Investment and The</w:t>
      </w:r>
      <w:r>
        <w:rPr>
          <w:sz w:val="20"/>
          <w:szCs w:val="20"/>
        </w:rPr>
        <w:t xml:space="preserve">ir Implication for Future Trend,” 14. </w:t>
      </w:r>
    </w:p>
  </w:footnote>
  <w:footnote w:id="15">
    <w:p w14:paraId="00000064" w14:textId="77777777" w:rsidR="00511B64" w:rsidRDefault="00DB11B3">
      <w:pPr>
        <w:spacing w:line="240" w:lineRule="auto"/>
        <w:rPr>
          <w:sz w:val="20"/>
          <w:szCs w:val="20"/>
        </w:rPr>
      </w:pPr>
      <w:r>
        <w:rPr>
          <w:vertAlign w:val="superscript"/>
        </w:rPr>
        <w:footnoteRef/>
      </w:r>
      <w:r>
        <w:rPr>
          <w:sz w:val="20"/>
          <w:szCs w:val="20"/>
        </w:rPr>
        <w:t xml:space="preserve"> Luo and Tung, </w:t>
      </w:r>
      <w:r>
        <w:rPr>
          <w:i/>
          <w:sz w:val="20"/>
          <w:szCs w:val="20"/>
        </w:rPr>
        <w:t>International Expansion of Emerging Market Enterprises: A Springboard Perspective</w:t>
      </w:r>
      <w:r>
        <w:rPr>
          <w:sz w:val="20"/>
          <w:szCs w:val="20"/>
        </w:rPr>
        <w:t xml:space="preserve">, 482. </w:t>
      </w:r>
    </w:p>
  </w:footnote>
  <w:footnote w:id="16">
    <w:p w14:paraId="00000065"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486). </w:t>
      </w:r>
    </w:p>
  </w:footnote>
  <w:footnote w:id="17">
    <w:p w14:paraId="00000066" w14:textId="77777777" w:rsidR="00511B64" w:rsidRDefault="00DB11B3">
      <w:pPr>
        <w:spacing w:line="240" w:lineRule="auto"/>
        <w:rPr>
          <w:sz w:val="20"/>
          <w:szCs w:val="20"/>
        </w:rPr>
      </w:pPr>
      <w:r>
        <w:rPr>
          <w:vertAlign w:val="superscript"/>
        </w:rPr>
        <w:footnoteRef/>
      </w:r>
      <w:r>
        <w:rPr>
          <w:sz w:val="20"/>
          <w:szCs w:val="20"/>
        </w:rPr>
        <w:t xml:space="preserve"> Miller, </w:t>
      </w:r>
      <w:r>
        <w:rPr>
          <w:i/>
          <w:sz w:val="20"/>
          <w:szCs w:val="20"/>
        </w:rPr>
        <w:t>To Get Rich Is Glorious: Challenges Facing China’s Econo</w:t>
      </w:r>
      <w:r>
        <w:rPr>
          <w:i/>
          <w:sz w:val="20"/>
          <w:szCs w:val="20"/>
        </w:rPr>
        <w:t>mic Reform</w:t>
      </w:r>
      <w:r>
        <w:rPr>
          <w:sz w:val="20"/>
          <w:szCs w:val="20"/>
        </w:rPr>
        <w:t xml:space="preserve">, 240. </w:t>
      </w:r>
    </w:p>
  </w:footnote>
  <w:footnote w:id="18">
    <w:p w14:paraId="0000007A" w14:textId="77777777" w:rsidR="00511B64" w:rsidRDefault="00DB11B3">
      <w:pPr>
        <w:spacing w:line="240" w:lineRule="auto"/>
        <w:rPr>
          <w:sz w:val="20"/>
          <w:szCs w:val="20"/>
        </w:rPr>
      </w:pPr>
      <w:r>
        <w:rPr>
          <w:vertAlign w:val="superscript"/>
        </w:rPr>
        <w:footnoteRef/>
      </w:r>
      <w:r>
        <w:rPr>
          <w:sz w:val="20"/>
          <w:szCs w:val="20"/>
        </w:rPr>
        <w:t xml:space="preserve"> Segal, “Greenfield vs. Brownfield </w:t>
      </w:r>
      <w:r>
        <w:rPr>
          <w:sz w:val="20"/>
          <w:szCs w:val="20"/>
        </w:rPr>
        <w:t>Investments: What’s the Difference?”</w:t>
      </w:r>
    </w:p>
  </w:footnote>
  <w:footnote w:id="19">
    <w:p w14:paraId="0000007B" w14:textId="77777777" w:rsidR="00511B64" w:rsidRDefault="00DB11B3">
      <w:pPr>
        <w:spacing w:line="240" w:lineRule="auto"/>
        <w:rPr>
          <w:sz w:val="20"/>
          <w:szCs w:val="20"/>
        </w:rPr>
      </w:pPr>
      <w:r>
        <w:rPr>
          <w:vertAlign w:val="superscript"/>
        </w:rPr>
        <w:footnoteRef/>
      </w:r>
      <w:r>
        <w:rPr>
          <w:sz w:val="20"/>
          <w:szCs w:val="20"/>
        </w:rPr>
        <w:t xml:space="preserve">  Tzogopoulos, “Greece, Israel, and China’s ‘Belt and Road’ Initiative.”</w:t>
      </w:r>
    </w:p>
  </w:footnote>
  <w:footnote w:id="20">
    <w:p w14:paraId="00000055" w14:textId="77777777" w:rsidR="00511B64" w:rsidRDefault="00DB11B3">
      <w:pPr>
        <w:spacing w:line="240" w:lineRule="auto"/>
        <w:rPr>
          <w:sz w:val="20"/>
          <w:szCs w:val="20"/>
        </w:rPr>
      </w:pPr>
      <w:r>
        <w:rPr>
          <w:vertAlign w:val="superscript"/>
        </w:rPr>
        <w:footnoteRef/>
      </w:r>
      <w:r>
        <w:rPr>
          <w:sz w:val="20"/>
          <w:szCs w:val="20"/>
        </w:rPr>
        <w:t xml:space="preserve"> Tzogopoulos, “Greece, Israel, and China’s ‘Belt and Road’ Initiative.”</w:t>
      </w:r>
    </w:p>
  </w:footnote>
  <w:footnote w:id="21">
    <w:p w14:paraId="00000056" w14:textId="77777777" w:rsidR="00511B64" w:rsidRDefault="00DB11B3">
      <w:pPr>
        <w:spacing w:line="240" w:lineRule="auto"/>
        <w:rPr>
          <w:sz w:val="20"/>
          <w:szCs w:val="20"/>
        </w:rPr>
      </w:pPr>
      <w:r>
        <w:rPr>
          <w:vertAlign w:val="superscript"/>
        </w:rPr>
        <w:footnoteRef/>
      </w:r>
      <w:r>
        <w:rPr>
          <w:sz w:val="20"/>
          <w:szCs w:val="20"/>
        </w:rPr>
        <w:t xml:space="preserve"> Kin-Chung et al., </w:t>
      </w:r>
      <w:r>
        <w:rPr>
          <w:i/>
          <w:sz w:val="20"/>
          <w:szCs w:val="20"/>
        </w:rPr>
        <w:t>Hong Kong in the Belt and Road Initiative</w:t>
      </w:r>
      <w:r>
        <w:rPr>
          <w:sz w:val="20"/>
          <w:szCs w:val="20"/>
        </w:rPr>
        <w:t xml:space="preserve">, 42. </w:t>
      </w:r>
    </w:p>
  </w:footnote>
  <w:footnote w:id="22">
    <w:p w14:paraId="0000005C" w14:textId="77777777" w:rsidR="00511B64" w:rsidRDefault="00DB11B3">
      <w:pPr>
        <w:spacing w:line="240" w:lineRule="auto"/>
        <w:rPr>
          <w:sz w:val="20"/>
          <w:szCs w:val="20"/>
        </w:rPr>
      </w:pPr>
      <w:r>
        <w:rPr>
          <w:vertAlign w:val="superscript"/>
        </w:rPr>
        <w:footnoteRef/>
      </w:r>
      <w:r>
        <w:rPr>
          <w:sz w:val="20"/>
          <w:szCs w:val="20"/>
        </w:rPr>
        <w:t xml:space="preserve"> Bo</w:t>
      </w:r>
      <w:r>
        <w:rPr>
          <w:sz w:val="20"/>
          <w:szCs w:val="20"/>
        </w:rPr>
        <w:t>ndaz et al., “‘One Belt, One Road:’ China’s Great Leap Outward.”</w:t>
      </w:r>
    </w:p>
  </w:footnote>
  <w:footnote w:id="23">
    <w:p w14:paraId="00000057" w14:textId="77777777" w:rsidR="00511B64" w:rsidRDefault="00DB11B3">
      <w:pPr>
        <w:spacing w:line="240" w:lineRule="auto"/>
        <w:rPr>
          <w:sz w:val="20"/>
          <w:szCs w:val="20"/>
        </w:rPr>
      </w:pPr>
      <w:r>
        <w:rPr>
          <w:vertAlign w:val="superscript"/>
        </w:rPr>
        <w:footnoteRef/>
      </w:r>
      <w:r>
        <w:rPr>
          <w:sz w:val="20"/>
          <w:szCs w:val="20"/>
        </w:rPr>
        <w:t xml:space="preserve"> Li, </w:t>
      </w:r>
      <w:r>
        <w:rPr>
          <w:i/>
          <w:sz w:val="20"/>
          <w:szCs w:val="20"/>
        </w:rPr>
        <w:t>How China’s Silk Road Initiative Is Changi</w:t>
      </w:r>
      <w:r>
        <w:rPr>
          <w:i/>
          <w:sz w:val="20"/>
          <w:szCs w:val="20"/>
        </w:rPr>
        <w:t>ng the Global Economic Landscape</w:t>
      </w:r>
      <w:r>
        <w:rPr>
          <w:sz w:val="20"/>
          <w:szCs w:val="20"/>
        </w:rPr>
        <w:t xml:space="preserve">, </w:t>
      </w:r>
    </w:p>
  </w:footnote>
  <w:footnote w:id="24">
    <w:p w14:paraId="00000058" w14:textId="77777777" w:rsidR="00511B64" w:rsidRDefault="00DB11B3">
      <w:pPr>
        <w:spacing w:line="240" w:lineRule="auto"/>
        <w:rPr>
          <w:sz w:val="20"/>
          <w:szCs w:val="20"/>
        </w:rPr>
      </w:pPr>
      <w:r>
        <w:rPr>
          <w:vertAlign w:val="superscript"/>
        </w:rPr>
        <w:footnoteRef/>
      </w:r>
      <w:r>
        <w:rPr>
          <w:sz w:val="20"/>
          <w:szCs w:val="20"/>
        </w:rPr>
        <w:t xml:space="preserve"> Kin-Chung et al., </w:t>
      </w:r>
      <w:r>
        <w:rPr>
          <w:i/>
          <w:sz w:val="20"/>
          <w:szCs w:val="20"/>
        </w:rPr>
        <w:t>Hong Kong in the Belt and Road Initiative</w:t>
      </w:r>
      <w:r>
        <w:rPr>
          <w:sz w:val="20"/>
          <w:szCs w:val="20"/>
        </w:rPr>
        <w:t xml:space="preserve">, 28-32. </w:t>
      </w:r>
    </w:p>
  </w:footnote>
  <w:footnote w:id="25">
    <w:p w14:paraId="00000059"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101). </w:t>
      </w:r>
    </w:p>
  </w:footnote>
  <w:footnote w:id="26">
    <w:p w14:paraId="00000067" w14:textId="77777777" w:rsidR="00511B64" w:rsidRDefault="00DB11B3">
      <w:pPr>
        <w:spacing w:line="240" w:lineRule="auto"/>
        <w:rPr>
          <w:sz w:val="20"/>
          <w:szCs w:val="20"/>
        </w:rPr>
      </w:pPr>
      <w:r>
        <w:rPr>
          <w:vertAlign w:val="superscript"/>
        </w:rPr>
        <w:footnoteRef/>
      </w:r>
      <w:r>
        <w:rPr>
          <w:sz w:val="20"/>
          <w:szCs w:val="20"/>
        </w:rPr>
        <w:t xml:space="preserve"> Miller, </w:t>
      </w:r>
      <w:r>
        <w:rPr>
          <w:i/>
          <w:sz w:val="20"/>
          <w:szCs w:val="20"/>
        </w:rPr>
        <w:t>To Get Rich Is Glorious: Challenges Facing China’s Economic Reform</w:t>
      </w:r>
      <w:r>
        <w:rPr>
          <w:sz w:val="20"/>
          <w:szCs w:val="20"/>
        </w:rPr>
        <w:t xml:space="preserve">, 240. </w:t>
      </w:r>
    </w:p>
  </w:footnote>
  <w:footnote w:id="27">
    <w:p w14:paraId="00000054" w14:textId="77777777" w:rsidR="00511B64" w:rsidRDefault="00DB11B3">
      <w:pPr>
        <w:spacing w:line="240" w:lineRule="auto"/>
        <w:rPr>
          <w:sz w:val="20"/>
          <w:szCs w:val="20"/>
        </w:rPr>
      </w:pPr>
      <w:r>
        <w:rPr>
          <w:vertAlign w:val="superscript"/>
        </w:rPr>
        <w:footnoteRef/>
      </w:r>
      <w:r>
        <w:rPr>
          <w:sz w:val="20"/>
          <w:szCs w:val="20"/>
        </w:rPr>
        <w:t xml:space="preserve"> Jinping,</w:t>
      </w:r>
      <w:r>
        <w:rPr>
          <w:sz w:val="20"/>
          <w:szCs w:val="20"/>
        </w:rPr>
        <w:t xml:space="preserve"> “Promote People-to-People Friendship and Create a Better Future.”</w:t>
      </w:r>
    </w:p>
  </w:footnote>
  <w:footnote w:id="28">
    <w:p w14:paraId="0000005A" w14:textId="77777777" w:rsidR="00511B64" w:rsidRDefault="00DB11B3">
      <w:pPr>
        <w:spacing w:line="240" w:lineRule="auto"/>
        <w:rPr>
          <w:sz w:val="20"/>
          <w:szCs w:val="20"/>
        </w:rPr>
      </w:pPr>
      <w:r>
        <w:rPr>
          <w:vertAlign w:val="superscript"/>
        </w:rPr>
        <w:footnoteRef/>
      </w:r>
      <w:r>
        <w:rPr>
          <w:sz w:val="20"/>
          <w:szCs w:val="20"/>
        </w:rPr>
        <w:t xml:space="preserve"> Hurley, Morris, and Portelance, “Examining the Debt Implications of the Belt and Road Initiative from a Policy Perspective,” 13.</w:t>
      </w:r>
    </w:p>
  </w:footnote>
  <w:footnote w:id="29">
    <w:p w14:paraId="00000053"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1). </w:t>
      </w:r>
    </w:p>
  </w:footnote>
  <w:footnote w:id="30">
    <w:p w14:paraId="00000068" w14:textId="77777777" w:rsidR="00511B64" w:rsidRDefault="00DB11B3">
      <w:pPr>
        <w:spacing w:line="240" w:lineRule="auto"/>
        <w:rPr>
          <w:sz w:val="20"/>
          <w:szCs w:val="20"/>
        </w:rPr>
      </w:pPr>
      <w:r>
        <w:rPr>
          <w:vertAlign w:val="superscript"/>
        </w:rPr>
        <w:footnoteRef/>
      </w:r>
      <w:r>
        <w:rPr>
          <w:sz w:val="20"/>
          <w:szCs w:val="20"/>
        </w:rPr>
        <w:t xml:space="preserve"> Miller, </w:t>
      </w:r>
      <w:r>
        <w:rPr>
          <w:i/>
          <w:sz w:val="20"/>
          <w:szCs w:val="20"/>
        </w:rPr>
        <w:t>To Get Rich Is Glorious: Challenges Facing China’s Economic Reform</w:t>
      </w:r>
      <w:r>
        <w:rPr>
          <w:sz w:val="20"/>
          <w:szCs w:val="20"/>
        </w:rPr>
        <w:t xml:space="preserve">, 241. </w:t>
      </w:r>
    </w:p>
  </w:footnote>
  <w:footnote w:id="31">
    <w:p w14:paraId="00000069" w14:textId="77777777" w:rsidR="00511B64" w:rsidRDefault="00DB11B3">
      <w:pPr>
        <w:spacing w:line="240" w:lineRule="auto"/>
        <w:rPr>
          <w:sz w:val="20"/>
          <w:szCs w:val="20"/>
        </w:rPr>
      </w:pPr>
      <w:r>
        <w:rPr>
          <w:vertAlign w:val="superscript"/>
        </w:rPr>
        <w:footnoteRef/>
      </w:r>
      <w:r>
        <w:rPr>
          <w:i/>
          <w:sz w:val="20"/>
          <w:szCs w:val="20"/>
        </w:rPr>
        <w:t xml:space="preserve"> Jun et al., The Jingshan Report, </w:t>
      </w:r>
      <w:r>
        <w:rPr>
          <w:sz w:val="20"/>
          <w:szCs w:val="20"/>
        </w:rPr>
        <w:t xml:space="preserve">286. </w:t>
      </w:r>
    </w:p>
  </w:footnote>
  <w:footnote w:id="32">
    <w:p w14:paraId="0000006A" w14:textId="77777777" w:rsidR="00511B64" w:rsidRDefault="00DB11B3">
      <w:pPr>
        <w:spacing w:line="240" w:lineRule="auto"/>
        <w:rPr>
          <w:sz w:val="20"/>
          <w:szCs w:val="20"/>
        </w:rPr>
      </w:pPr>
      <w:r>
        <w:rPr>
          <w:vertAlign w:val="superscript"/>
        </w:rPr>
        <w:footnoteRef/>
      </w:r>
      <w:r>
        <w:rPr>
          <w:sz w:val="20"/>
          <w:szCs w:val="20"/>
        </w:rPr>
        <w:t xml:space="preserve"> Tonchev, “Along the Road: S</w:t>
      </w:r>
      <w:r>
        <w:rPr>
          <w:sz w:val="20"/>
          <w:szCs w:val="20"/>
        </w:rPr>
        <w:t xml:space="preserve">ri Lanka’s Tale of Two Ports,” 2. </w:t>
      </w:r>
    </w:p>
  </w:footnote>
  <w:footnote w:id="33">
    <w:p w14:paraId="0000006B"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3). </w:t>
      </w:r>
    </w:p>
  </w:footnote>
  <w:footnote w:id="34">
    <w:p w14:paraId="0000006C" w14:textId="77777777" w:rsidR="00511B64" w:rsidRDefault="00DB11B3">
      <w:pPr>
        <w:spacing w:line="240" w:lineRule="auto"/>
        <w:rPr>
          <w:sz w:val="20"/>
          <w:szCs w:val="20"/>
        </w:rPr>
      </w:pPr>
      <w:r>
        <w:rPr>
          <w:vertAlign w:val="superscript"/>
        </w:rPr>
        <w:footnoteRef/>
      </w:r>
      <w:r>
        <w:rPr>
          <w:sz w:val="20"/>
          <w:szCs w:val="20"/>
        </w:rPr>
        <w:t xml:space="preserve"> Abi-Habib, “How China Got Sri Lanka to Cough Up a Port.”</w:t>
      </w:r>
    </w:p>
  </w:footnote>
  <w:footnote w:id="35">
    <w:p w14:paraId="0000006D" w14:textId="77777777" w:rsidR="00511B64" w:rsidRDefault="00DB11B3">
      <w:pPr>
        <w:spacing w:line="240" w:lineRule="auto"/>
        <w:rPr>
          <w:sz w:val="20"/>
          <w:szCs w:val="20"/>
        </w:rPr>
      </w:pPr>
      <w:r>
        <w:rPr>
          <w:vertAlign w:val="superscript"/>
        </w:rPr>
        <w:footnoteRef/>
      </w:r>
      <w:r>
        <w:rPr>
          <w:sz w:val="20"/>
          <w:szCs w:val="20"/>
        </w:rPr>
        <w:t xml:space="preserve">  Tonchev, “Along the Road: Sri Lanka’s Tale of Two Ports,” 3. </w:t>
      </w:r>
    </w:p>
  </w:footnote>
  <w:footnote w:id="36">
    <w:p w14:paraId="0000006F" w14:textId="77777777" w:rsidR="00511B64" w:rsidRDefault="00DB11B3">
      <w:pPr>
        <w:spacing w:line="240" w:lineRule="auto"/>
        <w:rPr>
          <w:sz w:val="20"/>
          <w:szCs w:val="20"/>
        </w:rPr>
      </w:pPr>
      <w:r>
        <w:rPr>
          <w:vertAlign w:val="superscript"/>
        </w:rPr>
        <w:footnoteRef/>
      </w:r>
      <w:r>
        <w:rPr>
          <w:sz w:val="20"/>
          <w:szCs w:val="20"/>
        </w:rPr>
        <w:t xml:space="preserve"> Fan, “A Long Voyage to Success: China’s In</w:t>
      </w:r>
      <w:r>
        <w:rPr>
          <w:sz w:val="20"/>
          <w:szCs w:val="20"/>
        </w:rPr>
        <w:t>vestment in Hambantota Port Faces Several Challenges.”</w:t>
      </w:r>
    </w:p>
  </w:footnote>
  <w:footnote w:id="37">
    <w:p w14:paraId="00000072" w14:textId="77777777" w:rsidR="00511B64" w:rsidRDefault="00DB11B3">
      <w:pPr>
        <w:spacing w:line="240" w:lineRule="auto"/>
        <w:rPr>
          <w:sz w:val="20"/>
          <w:szCs w:val="20"/>
        </w:rPr>
      </w:pPr>
      <w:r>
        <w:rPr>
          <w:vertAlign w:val="superscript"/>
        </w:rPr>
        <w:footnoteRef/>
      </w:r>
      <w:r>
        <w:rPr>
          <w:sz w:val="20"/>
          <w:szCs w:val="20"/>
        </w:rPr>
        <w:t xml:space="preserve"> Moramudali, “The Hambantota Port Deal: Myths and Realities.”</w:t>
      </w:r>
    </w:p>
  </w:footnote>
  <w:footnote w:id="38">
    <w:p w14:paraId="00000077"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w:t>
      </w:r>
    </w:p>
  </w:footnote>
  <w:footnote w:id="39">
    <w:p w14:paraId="00000079" w14:textId="77777777" w:rsidR="00511B64" w:rsidRDefault="00DB11B3">
      <w:pPr>
        <w:spacing w:line="240" w:lineRule="auto"/>
        <w:rPr>
          <w:sz w:val="20"/>
          <w:szCs w:val="20"/>
        </w:rPr>
      </w:pPr>
      <w:r>
        <w:rPr>
          <w:vertAlign w:val="superscript"/>
        </w:rPr>
        <w:footnoteRef/>
      </w:r>
      <w:r>
        <w:rPr>
          <w:sz w:val="20"/>
          <w:szCs w:val="20"/>
        </w:rPr>
        <w:t xml:space="preserve"> Hillman, Jonathan. “Game of Loans: How China Bought Hambantota.” Center for Strategic and International Studies, 2018.</w:t>
      </w:r>
    </w:p>
  </w:footnote>
  <w:footnote w:id="40">
    <w:p w14:paraId="00000073" w14:textId="77777777" w:rsidR="00511B64" w:rsidRDefault="00DB11B3">
      <w:pPr>
        <w:spacing w:line="240" w:lineRule="auto"/>
        <w:rPr>
          <w:i/>
          <w:sz w:val="20"/>
          <w:szCs w:val="20"/>
        </w:rPr>
      </w:pPr>
      <w:r>
        <w:rPr>
          <w:vertAlign w:val="superscript"/>
        </w:rPr>
        <w:footnoteRef/>
      </w:r>
      <w:r>
        <w:rPr>
          <w:sz w:val="20"/>
          <w:szCs w:val="20"/>
        </w:rPr>
        <w:t xml:space="preserve"> Moramudali, “The Hambantota Port Deal: Myths and Realities.”</w:t>
      </w:r>
    </w:p>
  </w:footnote>
  <w:footnote w:id="41">
    <w:p w14:paraId="00000074" w14:textId="77777777" w:rsidR="00511B64" w:rsidRDefault="00DB11B3">
      <w:pPr>
        <w:spacing w:line="240" w:lineRule="auto"/>
        <w:rPr>
          <w:sz w:val="20"/>
          <w:szCs w:val="20"/>
        </w:rPr>
      </w:pPr>
      <w:r>
        <w:rPr>
          <w:vertAlign w:val="superscript"/>
        </w:rPr>
        <w:footnoteRef/>
      </w:r>
      <w:r>
        <w:rPr>
          <w:sz w:val="20"/>
          <w:szCs w:val="20"/>
        </w:rPr>
        <w:t xml:space="preserve"> Fan, “A Long Voyage to Success: Ch</w:t>
      </w:r>
      <w:r>
        <w:rPr>
          <w:sz w:val="20"/>
          <w:szCs w:val="20"/>
        </w:rPr>
        <w:t>ina’s Investment in Hambantota Port Faces Several Challenges.”</w:t>
      </w:r>
    </w:p>
  </w:footnote>
  <w:footnote w:id="42">
    <w:p w14:paraId="00000075" w14:textId="77777777" w:rsidR="00511B64" w:rsidRDefault="00DB11B3">
      <w:pPr>
        <w:spacing w:line="240" w:lineRule="auto"/>
        <w:rPr>
          <w:sz w:val="20"/>
          <w:szCs w:val="20"/>
        </w:rPr>
      </w:pPr>
      <w:r>
        <w:rPr>
          <w:vertAlign w:val="superscript"/>
        </w:rPr>
        <w:footnoteRef/>
      </w:r>
      <w:r>
        <w:rPr>
          <w:sz w:val="20"/>
          <w:szCs w:val="20"/>
        </w:rPr>
        <w:t xml:space="preserve"> Hillman, Jonathan. “Game of Loans: How China Bought Hambantota.” Center for Strategic and International Studies, 2018, 2. </w:t>
      </w:r>
    </w:p>
  </w:footnote>
  <w:footnote w:id="43">
    <w:p w14:paraId="00000076" w14:textId="77777777" w:rsidR="00511B64" w:rsidRDefault="00DB11B3">
      <w:pPr>
        <w:spacing w:line="240" w:lineRule="auto"/>
        <w:rPr>
          <w:i/>
          <w:sz w:val="20"/>
          <w:szCs w:val="20"/>
        </w:rPr>
      </w:pPr>
      <w:r>
        <w:rPr>
          <w:vertAlign w:val="superscript"/>
        </w:rPr>
        <w:footnoteRef/>
      </w:r>
      <w:r>
        <w:rPr>
          <w:sz w:val="20"/>
          <w:szCs w:val="20"/>
        </w:rPr>
        <w:t xml:space="preserve"> </w:t>
      </w:r>
      <w:r>
        <w:rPr>
          <w:i/>
          <w:sz w:val="20"/>
          <w:szCs w:val="20"/>
        </w:rPr>
        <w:t xml:space="preserve">(Ibid, 3). </w:t>
      </w:r>
    </w:p>
  </w:footnote>
  <w:footnote w:id="44">
    <w:p w14:paraId="00000078" w14:textId="77777777" w:rsidR="00511B64" w:rsidRDefault="00DB11B3">
      <w:pPr>
        <w:spacing w:line="240" w:lineRule="auto"/>
        <w:rPr>
          <w:sz w:val="20"/>
          <w:szCs w:val="20"/>
        </w:rPr>
      </w:pPr>
      <w:r>
        <w:rPr>
          <w:vertAlign w:val="superscript"/>
        </w:rPr>
        <w:footnoteRef/>
      </w:r>
      <w:r>
        <w:rPr>
          <w:sz w:val="20"/>
          <w:szCs w:val="20"/>
        </w:rPr>
        <w:t xml:space="preserve">  Fan, “A Long Voyage to Success: China’s Investment in Hambantota Port Faces Several Challenges.”</w:t>
      </w:r>
    </w:p>
  </w:footnote>
  <w:footnote w:id="45">
    <w:p w14:paraId="00000063" w14:textId="77777777" w:rsidR="00511B64" w:rsidRDefault="00DB11B3">
      <w:pPr>
        <w:spacing w:line="240" w:lineRule="auto"/>
        <w:rPr>
          <w:sz w:val="20"/>
          <w:szCs w:val="20"/>
        </w:rPr>
      </w:pPr>
      <w:r>
        <w:rPr>
          <w:vertAlign w:val="superscript"/>
        </w:rPr>
        <w:footnoteRef/>
      </w:r>
      <w:r>
        <w:rPr>
          <w:sz w:val="20"/>
          <w:szCs w:val="20"/>
        </w:rPr>
        <w:t xml:space="preserve"> van der Putten, “Chinese Investment in the Port of</w:t>
      </w:r>
      <w:r>
        <w:rPr>
          <w:sz w:val="20"/>
          <w:szCs w:val="20"/>
        </w:rPr>
        <w:t xml:space="preserve"> Piraeus, Greece: The Relevance for the EU and the Netherlands,” 5. </w:t>
      </w:r>
    </w:p>
  </w:footnote>
  <w:footnote w:id="46">
    <w:p w14:paraId="0000006E" w14:textId="77777777" w:rsidR="00511B64" w:rsidRDefault="00DB11B3">
      <w:pPr>
        <w:spacing w:line="240" w:lineRule="auto"/>
        <w:rPr>
          <w:sz w:val="20"/>
          <w:szCs w:val="20"/>
        </w:rPr>
      </w:pPr>
      <w:r>
        <w:rPr>
          <w:vertAlign w:val="superscript"/>
        </w:rPr>
        <w:footnoteRef/>
      </w:r>
      <w:r>
        <w:rPr>
          <w:sz w:val="20"/>
          <w:szCs w:val="20"/>
        </w:rPr>
        <w:t xml:space="preserve"> “2019 Annual Financial Report,” 66. </w:t>
      </w:r>
    </w:p>
  </w:footnote>
  <w:footnote w:id="47">
    <w:p w14:paraId="00000070" w14:textId="77777777" w:rsidR="00511B64" w:rsidRDefault="00DB11B3">
      <w:pPr>
        <w:spacing w:line="240" w:lineRule="auto"/>
        <w:rPr>
          <w:sz w:val="20"/>
          <w:szCs w:val="20"/>
        </w:rPr>
      </w:pPr>
      <w:r>
        <w:rPr>
          <w:vertAlign w:val="superscript"/>
        </w:rPr>
        <w:footnoteRef/>
      </w:r>
      <w:r>
        <w:rPr>
          <w:sz w:val="20"/>
          <w:szCs w:val="20"/>
        </w:rPr>
        <w:t xml:space="preserve"> “2007 Annual Financial Report,”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C264" w14:textId="77777777" w:rsidR="009565EB" w:rsidRDefault="00956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444C0" w14:textId="77777777" w:rsidR="009565EB" w:rsidRDefault="00956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74C39" w14:textId="77777777" w:rsidR="009565EB" w:rsidRDefault="0095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94406"/>
    <w:multiLevelType w:val="multilevel"/>
    <w:tmpl w:val="AB568600"/>
    <w:lvl w:ilvl="0">
      <w:start w:val="1"/>
      <w:numFmt w:val="upperRoman"/>
      <w:lvlText w:val="%1."/>
      <w:lvlJc w:val="right"/>
      <w:pPr>
        <w:ind w:left="720" w:hanging="360"/>
      </w:pPr>
      <w:rPr>
        <w:rFonts w:ascii="Times New Roman" w:eastAsia="Times New Roman" w:hAnsi="Times New Roman" w:cs="Times New Roman"/>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64"/>
    <w:rsid w:val="00511B64"/>
    <w:rsid w:val="009565EB"/>
    <w:rsid w:val="00DB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9667C"/>
  <w15:docId w15:val="{2A9BD86A-B799-CF40-A279-F8AA809D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565EB"/>
    <w:pPr>
      <w:tabs>
        <w:tab w:val="center" w:pos="4680"/>
        <w:tab w:val="right" w:pos="9360"/>
      </w:tabs>
      <w:spacing w:line="240" w:lineRule="auto"/>
    </w:pPr>
  </w:style>
  <w:style w:type="character" w:customStyle="1" w:styleId="HeaderChar">
    <w:name w:val="Header Char"/>
    <w:basedOn w:val="DefaultParagraphFont"/>
    <w:link w:val="Header"/>
    <w:uiPriority w:val="99"/>
    <w:rsid w:val="009565EB"/>
  </w:style>
  <w:style w:type="paragraph" w:styleId="Footer">
    <w:name w:val="footer"/>
    <w:basedOn w:val="Normal"/>
    <w:link w:val="FooterChar"/>
    <w:uiPriority w:val="99"/>
    <w:unhideWhenUsed/>
    <w:rsid w:val="009565EB"/>
    <w:pPr>
      <w:tabs>
        <w:tab w:val="center" w:pos="4680"/>
        <w:tab w:val="right" w:pos="9360"/>
      </w:tabs>
      <w:spacing w:line="240" w:lineRule="auto"/>
    </w:pPr>
  </w:style>
  <w:style w:type="character" w:customStyle="1" w:styleId="FooterChar">
    <w:name w:val="Footer Char"/>
    <w:basedOn w:val="DefaultParagraphFont"/>
    <w:link w:val="Footer"/>
    <w:uiPriority w:val="99"/>
    <w:rsid w:val="00956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s.cgtn.com/news/3d3d514e7945444d32457a6333566d54/share_p.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8/06/25/world/asia/china-sri-lanka-port.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vestopedia.com/ask/answers/043015/what-difference-between-green-field-and-brown-field-investment.asp" TargetMode="External"/><Relationship Id="rId4" Type="http://schemas.openxmlformats.org/officeDocument/2006/relationships/webSettings" Target="webSettings.xml"/><Relationship Id="rId9" Type="http://schemas.openxmlformats.org/officeDocument/2006/relationships/hyperlink" Target="https://thediplomat.com/2020/01/the-hambantota-port-deal-myths-and-real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4767</Words>
  <Characters>27176</Characters>
  <Application>Microsoft Office Word</Application>
  <DocSecurity>0</DocSecurity>
  <Lines>226</Lines>
  <Paragraphs>63</Paragraphs>
  <ScaleCrop>false</ScaleCrop>
  <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Fang, Jessica</cp:lastModifiedBy>
  <cp:revision>2</cp:revision>
  <dcterms:created xsi:type="dcterms:W3CDTF">2020-06-03T19:43:00Z</dcterms:created>
  <dcterms:modified xsi:type="dcterms:W3CDTF">2020-06-03T19:43:00Z</dcterms:modified>
</cp:coreProperties>
</file>